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EF" w:rsidRPr="00A415EF" w:rsidRDefault="00A415EF" w:rsidP="00A415EF">
      <w:pPr>
        <w:shd w:val="clear" w:color="auto" w:fill="FFFFFF"/>
        <w:spacing w:after="0" w:line="312" w:lineRule="atLeast"/>
        <w:outlineLvl w:val="0"/>
        <w:rPr>
          <w:rFonts w:ascii="Calibri" w:eastAsia="Times New Roman" w:hAnsi="Calibri" w:cs="Times New Roman"/>
          <w:color w:val="000000"/>
          <w:kern w:val="36"/>
          <w:sz w:val="29"/>
          <w:szCs w:val="29"/>
          <w:lang w:eastAsia="fr-FR"/>
        </w:rPr>
      </w:pPr>
      <w:r w:rsidRPr="00A415EF">
        <w:rPr>
          <w:rFonts w:ascii="Calibri" w:eastAsia="Times New Roman" w:hAnsi="Calibri" w:cs="Times New Roman"/>
          <w:color w:val="000000"/>
          <w:kern w:val="36"/>
          <w:sz w:val="29"/>
          <w:szCs w:val="29"/>
          <w:lang w:eastAsia="fr-FR"/>
        </w:rPr>
        <w:t>Décret n°85-603 du 10 juin 1985 relatif à l'hygiène et à la sécurité du travail ainsi qu'à la médecine professionnelle et préventive dans la fonction publique territoriale</w:t>
      </w:r>
      <w:r w:rsidRPr="00A415EF">
        <w:rPr>
          <w:rFonts w:ascii="Calibri" w:eastAsia="Times New Roman" w:hAnsi="Calibri" w:cs="Times New Roman"/>
          <w:color w:val="000000"/>
          <w:kern w:val="36"/>
          <w:sz w:val="29"/>
          <w:lang w:eastAsia="fr-FR"/>
        </w:rPr>
        <w:t> </w:t>
      </w:r>
      <w:r w:rsidRPr="00A415EF">
        <w:rPr>
          <w:rFonts w:ascii="Calibri" w:eastAsia="Times New Roman" w:hAnsi="Calibri" w:cs="Times New Roman"/>
          <w:color w:val="666666"/>
          <w:kern w:val="36"/>
          <w:lang w:eastAsia="fr-FR"/>
        </w:rPr>
        <w:t>(DE100685)</w:t>
      </w:r>
    </w:p>
    <w:p w:rsidR="00A415EF" w:rsidRPr="00A415EF" w:rsidRDefault="0041083D" w:rsidP="00A415EF">
      <w:pPr>
        <w:shd w:val="clear" w:color="auto" w:fill="FFFFFF"/>
        <w:spacing w:before="120" w:after="120" w:line="264" w:lineRule="atLeast"/>
        <w:jc w:val="both"/>
        <w:rPr>
          <w:rFonts w:ascii="Calibri" w:eastAsia="Times New Roman" w:hAnsi="Calibri" w:cs="Times New Roman"/>
          <w:color w:val="000000"/>
          <w:sz w:val="19"/>
          <w:szCs w:val="19"/>
          <w:lang w:eastAsia="fr-FR"/>
        </w:rPr>
      </w:pPr>
      <w:r w:rsidRPr="0041083D">
        <w:rPr>
          <w:rFonts w:ascii="Calibri" w:eastAsia="Times New Roman" w:hAnsi="Calibri" w:cs="Times New Roman"/>
          <w:color w:val="000000"/>
          <w:sz w:val="19"/>
          <w:szCs w:val="19"/>
          <w:lang w:eastAsia="fr-FR"/>
        </w:rPr>
        <w:pict>
          <v:rect id="_x0000_i1025" style="width:0;height:.75pt" o:hralign="center" o:hrstd="t" o:hr="t" fillcolor="#9d9da1" stroked="f"/>
        </w:pict>
      </w:r>
    </w:p>
    <w:p w:rsidR="00A415EF" w:rsidRPr="00A415EF" w:rsidRDefault="00A415EF" w:rsidP="00A415EF">
      <w:pPr>
        <w:shd w:val="clear" w:color="auto" w:fill="FFFFFF"/>
        <w:spacing w:after="0" w:line="264" w:lineRule="atLeast"/>
        <w:rPr>
          <w:rFonts w:ascii="Calibri" w:eastAsia="Times New Roman" w:hAnsi="Calibri" w:cs="Times New Roman"/>
          <w:b/>
          <w:bCs/>
          <w:color w:val="000000"/>
          <w:lang w:eastAsia="fr-FR"/>
        </w:rPr>
      </w:pPr>
      <w:r w:rsidRPr="00A415EF">
        <w:rPr>
          <w:rFonts w:ascii="Calibri" w:eastAsia="Times New Roman" w:hAnsi="Calibri" w:cs="Times New Roman"/>
          <w:b/>
          <w:bCs/>
          <w:color w:val="000000"/>
          <w:lang w:eastAsia="fr-FR"/>
        </w:rPr>
        <w:t>A noter : le décret n°85-603 du 10 juin 1985 est ici présenté dans sa version modifiée par le décret n°2012-170 du 3 février 2012.</w:t>
      </w:r>
      <w:r w:rsidRPr="00A415EF">
        <w:rPr>
          <w:rFonts w:ascii="Calibri" w:eastAsia="Times New Roman" w:hAnsi="Calibri" w:cs="Times New Roman"/>
          <w:b/>
          <w:bCs/>
          <w:color w:val="000000"/>
          <w:lang w:eastAsia="fr-FR"/>
        </w:rPr>
        <w:br/>
        <w:t xml:space="preserve">Concernant la date d'entrée en vigueur de cette version, il convient de distinguer (art. 19 </w:t>
      </w:r>
      <w:proofErr w:type="spellStart"/>
      <w:r w:rsidRPr="00A415EF">
        <w:rPr>
          <w:rFonts w:ascii="Calibri" w:eastAsia="Times New Roman" w:hAnsi="Calibri" w:cs="Times New Roman"/>
          <w:b/>
          <w:bCs/>
          <w:color w:val="000000"/>
          <w:lang w:eastAsia="fr-FR"/>
        </w:rPr>
        <w:t>décr</w:t>
      </w:r>
      <w:proofErr w:type="spellEnd"/>
      <w:r w:rsidRPr="00A415EF">
        <w:rPr>
          <w:rFonts w:ascii="Calibri" w:eastAsia="Times New Roman" w:hAnsi="Calibri" w:cs="Times New Roman"/>
          <w:b/>
          <w:bCs/>
          <w:color w:val="000000"/>
          <w:lang w:eastAsia="fr-FR"/>
        </w:rPr>
        <w:t>. n°2012-170 du 3 février 2012):</w:t>
      </w:r>
      <w:r w:rsidRPr="00A415EF">
        <w:rPr>
          <w:rFonts w:ascii="Calibri" w:eastAsia="Times New Roman" w:hAnsi="Calibri" w:cs="Times New Roman"/>
          <w:b/>
          <w:bCs/>
          <w:color w:val="000000"/>
          <w:lang w:eastAsia="fr-FR"/>
        </w:rPr>
        <w:br/>
        <w:t>- les modifications relatives à la composition et au fonctionnement des comités d'hygiène, de sécurité et des conditions de travail (chapitres I, II, III et VI du titre IV), qui entreront en vigueur à compter du premier renouvellement général des comités techniques</w:t>
      </w:r>
      <w:r w:rsidRPr="00A415EF">
        <w:rPr>
          <w:rFonts w:ascii="Calibri" w:eastAsia="Times New Roman" w:hAnsi="Calibri" w:cs="Times New Roman"/>
          <w:b/>
          <w:bCs/>
          <w:color w:val="000000"/>
          <w:lang w:eastAsia="fr-FR"/>
        </w:rPr>
        <w:br/>
        <w:t>- les autres modifications, qui entrent en vigueur le 6 février 2012</w:t>
      </w:r>
    </w:p>
    <w:p w:rsidR="00A415EF" w:rsidRPr="00A415EF" w:rsidRDefault="0041083D" w:rsidP="00A415EF">
      <w:pPr>
        <w:shd w:val="clear" w:color="auto" w:fill="FFFFFF"/>
        <w:spacing w:before="120" w:after="120" w:line="264" w:lineRule="atLeast"/>
        <w:jc w:val="both"/>
        <w:rPr>
          <w:rFonts w:ascii="Calibri" w:eastAsia="Times New Roman" w:hAnsi="Calibri" w:cs="Times New Roman"/>
          <w:color w:val="000000"/>
          <w:sz w:val="19"/>
          <w:szCs w:val="19"/>
          <w:lang w:eastAsia="fr-FR"/>
        </w:rPr>
      </w:pPr>
      <w:r w:rsidRPr="0041083D">
        <w:rPr>
          <w:rFonts w:ascii="Calibri" w:eastAsia="Times New Roman" w:hAnsi="Calibri" w:cs="Times New Roman"/>
          <w:color w:val="000000"/>
          <w:sz w:val="19"/>
          <w:szCs w:val="19"/>
          <w:lang w:eastAsia="fr-FR"/>
        </w:rPr>
        <w:pict>
          <v:rect id="_x0000_i1026" style="width:0;height:.75pt" o:hralign="center" o:hrstd="t" o:hr="t" fillcolor="#9d9da1" stroked="f"/>
        </w:pic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Le Premier ministre,</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Sur le rapport du ministre de l'intérieur et de la décentralisation,</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Vu le code des communes, et notamment les articles L. 417-26 à L. 417-28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Vu la loi n°83-634 du 13 juillet 1983 portant droits et obligations des fonctionnaires, notamment son article 23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Vu la loi n°84-53 du 26 janvier 1984 modifiée portant dispositions statutaires relatives à la fonction publique territoriale, notamment ses articles 33-5° et 119-III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Vu la loi n°84-594 du 12 juillet 1984 relative à la formation des agents de la fonction publique territoriale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Vu le décret n°84-346 du 10 mai 1984 relatif au Conseil supérieur de la fonction publique territoriale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Vu le décret n°85-565 du 30 mai 1985 relatif aux comités techniques paritaires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Vu l'avis du Conseil Supérieur de la fonction publique territoriale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Le Conseil d'Etat (section de l'intérieur) entendu,</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Décrète :</w:t>
      </w:r>
    </w:p>
    <w:p w:rsidR="00A415EF" w:rsidRDefault="00A415EF">
      <w:pPr>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br w:type="page"/>
      </w:r>
    </w:p>
    <w:p w:rsidR="00A170F1" w:rsidRDefault="00A415EF" w:rsidP="00A415EF">
      <w:pPr>
        <w:shd w:val="clear" w:color="auto" w:fill="FFFFFF"/>
        <w:spacing w:after="0" w:line="264" w:lineRule="atLeast"/>
        <w:jc w:val="center"/>
        <w:rPr>
          <w:rFonts w:ascii="Calibri" w:eastAsia="Times New Roman" w:hAnsi="Calibri" w:cs="Times New Roman"/>
          <w:b/>
          <w:bCs/>
          <w:color w:val="000000"/>
          <w:lang w:eastAsia="fr-FR"/>
        </w:rPr>
      </w:pPr>
      <w:r w:rsidRPr="00A415EF">
        <w:rPr>
          <w:rFonts w:ascii="Calibri" w:eastAsia="Times New Roman" w:hAnsi="Calibri" w:cs="Times New Roman"/>
          <w:b/>
          <w:bCs/>
          <w:color w:val="000000"/>
          <w:lang w:eastAsia="fr-FR"/>
        </w:rPr>
        <w:lastRenderedPageBreak/>
        <w:t>TITRE Ier</w:t>
      </w:r>
    </w:p>
    <w:p w:rsidR="00A415EF" w:rsidRDefault="00A415EF" w:rsidP="00A415EF">
      <w:pPr>
        <w:shd w:val="clear" w:color="auto" w:fill="FFFFFF"/>
        <w:spacing w:after="0" w:line="264" w:lineRule="atLeast"/>
        <w:jc w:val="center"/>
        <w:rPr>
          <w:rFonts w:ascii="Calibri" w:eastAsia="Times New Roman" w:hAnsi="Calibri" w:cs="Times New Roman"/>
          <w:b/>
          <w:bCs/>
          <w:color w:val="000000"/>
          <w:lang w:eastAsia="fr-FR"/>
        </w:rPr>
      </w:pPr>
      <w:r w:rsidRPr="00A415EF">
        <w:rPr>
          <w:rFonts w:ascii="Calibri" w:eastAsia="Times New Roman" w:hAnsi="Calibri" w:cs="Times New Roman"/>
          <w:b/>
          <w:bCs/>
          <w:color w:val="000000"/>
          <w:lang w:eastAsia="fr-FR"/>
        </w:rPr>
        <w:t>Règles relatives à l'hygiène et à la sécurité et contrôle de leur application</w:t>
      </w:r>
    </w:p>
    <w:p w:rsidR="00A170F1" w:rsidRPr="00A415EF" w:rsidRDefault="00A170F1"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1er.-</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présent décret s'applique aux collectivités et établissements employant des agents régis par la loi n°84-53 du 26 janvier 1984.</w:t>
      </w:r>
    </w:p>
    <w:p w:rsidR="00A170F1" w:rsidRPr="00A415EF" w:rsidRDefault="00A170F1"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Dans les collectivités et établissements mentionnés à l'article 1er, les locaux et installations de service doivent être aménagés, les équipements doivent être réalisés et maintenus de manière à garantir la sécurité des agents et des usagers. Les locaux doivent être tenus dans un état constant de propreté et présenter les conditions d'hygiène et de sécurité nécessaires à la santé des personnes.</w:t>
      </w: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2-1.-</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Les autorités territoriales sont chargées de veiller à la sécurité et à la protection de la santé des agents placés sous leur autorité.</w:t>
      </w:r>
    </w:p>
    <w:p w:rsidR="00A170F1" w:rsidRPr="00A415EF" w:rsidRDefault="00A170F1"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3.-</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En application de l'article 108-1 de la loi du 26 janvier 1984 susvisée dans les services des collectivités et établissements mentionnés à l'article 1er, les règles applicables en matière d'hygiène et de sécurité sont, sous réserve des dispositions du présent décret, celles définies au titre III du livre II du code du travail et par les décrets pris pour son application.</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En application de l'article 108-1 de la loi du 26 janvier 1984 susvisée, dans les services des collectivités et établissements mentionnés à l'article 1er, les règles applicables en matière de santé et de sécurité sont, sous réserve des dispositions du présent décret, celles définies aux livres Ier à V de la quatrième partie du code du travail et par les décrets pris pour leur application, ainsi que par l'article L. 717-9 du code rural et de la pêche maritime.</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Des arrêtés conjoints du ministre chargé des collectivités territoriales et du ministre chargé du travail déterminent, après avis du Conseil supérieur de la fonction publique territoriale, les modalités particulières d'application exigées par les conditions spécifiques de fonctionnement de certains services.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i/>
          <w:iCs/>
          <w:strike/>
          <w:color w:val="000000"/>
          <w:sz w:val="19"/>
          <w:szCs w:val="19"/>
          <w:lang w:eastAsia="fr-FR"/>
        </w:rPr>
        <w:t>abrogé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3-1.- </w:t>
      </w:r>
      <w:r w:rsidRPr="00A415EF">
        <w:rPr>
          <w:rFonts w:ascii="Calibri" w:eastAsia="Times New Roman" w:hAnsi="Calibri" w:cs="Times New Roman"/>
          <w:color w:val="FF0000"/>
          <w:sz w:val="19"/>
          <w:szCs w:val="19"/>
          <w:lang w:eastAsia="fr-FR"/>
        </w:rPr>
        <w:t>Un registre de santé et de sécurité au travail est ouvert dans chaque service et tenu par les agents mentionnés à l'article 4. Ce document contient les observations et suggestions des agents relatives à la prévention des risques professionnels et à l'amélioration des conditions de travail.</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 registre de santé et de sécurité au travail est mis à la disposition de l'ensemble des agents et, le cas échéant, des usagers. Il est également mis à la disposition des agents chargés d'une fonction d'inspection mentionnés à l'article 5 et du comité mentionné à l'article 37.</w:t>
      </w:r>
    </w:p>
    <w:p w:rsidR="00A170F1" w:rsidRPr="00A415EF" w:rsidRDefault="00A170F1"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4.-</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Dans le champ de compétence du comité mentionné à l'article 37, des assistants de prévention et, le cas échéant, des conseillers de prévention sont désignés par l'autorité territoriale sous l'autorité de laquelle ils exercent leurs fonctions. Les assistants de prévention constituent le niveau de proximité du réseau des agents de prévention. Les conseillers de prévention assurent une mission de coordination. Ils sont institués lorsque l'importance des risques professionnels ou des effectifs le justifie.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agents mentionnés au premier alinéa peuvent être mis à disposition, pour tout ou partie de leur temps par une commune, l'établissement public de coopération intercommunale dont est membre la commune, ou le centre de gestion, dans les conditions prévues à l'article 108-3 de la loi du 26 janvier 1984 susvisée.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L'autorité territoriale adresse aux agents mentionnés au premier alinéa une lettre de cadrage qui définit les moyens mis à leur disposition pour l'exercice de leurs missions. Une copie de cette lettre est communiquée au comité, mentionné à l'article 37, dans le champ duquel l'agent est placé.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dispositions du présent article et de l'article 4-1 sont sans incidence sur le principe de la responsabilité de l'autorité territoriale mentionnée à l'article 2-1.</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4-1.-</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 xml:space="preserve">La mission de l'agent désigné en application de l'article 108-3 de la loi du 26 janvier 1984 susvisée est d'assister et de conseiller l'autorité territoriale auprès de laquelle il est placé dans la mise en </w:t>
      </w:r>
      <w:proofErr w:type="spellStart"/>
      <w:r w:rsidRPr="00A415EF">
        <w:rPr>
          <w:rFonts w:ascii="Calibri" w:eastAsia="Times New Roman" w:hAnsi="Calibri" w:cs="Times New Roman"/>
          <w:strike/>
          <w:color w:val="000000"/>
          <w:sz w:val="19"/>
          <w:szCs w:val="19"/>
          <w:lang w:eastAsia="fr-FR"/>
        </w:rPr>
        <w:t>oeuvre</w:t>
      </w:r>
      <w:proofErr w:type="spellEnd"/>
      <w:r w:rsidRPr="00A415EF">
        <w:rPr>
          <w:rFonts w:ascii="Calibri" w:eastAsia="Times New Roman" w:hAnsi="Calibri" w:cs="Times New Roman"/>
          <w:strike/>
          <w:color w:val="000000"/>
          <w:sz w:val="19"/>
          <w:szCs w:val="19"/>
          <w:lang w:eastAsia="fr-FR"/>
        </w:rPr>
        <w:t xml:space="preserve"> des règles de sécurité et d'hygiène au travail visant à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prévenir les dangers susceptibles de compromettre la sécurité ou la santé des agents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améliorer l'organisation et l'environnement du travail en adaptant les conditions de travail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faire progresser la connaissance des problèmes de sécurité et des techniques propres à les résoudre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veiller à l'observation des prescriptions législatives et réglementaires prises en ces matières ainsi qu'à la bonne tenue des registres de sécurité dans tous les services.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Cet agent est associé aux travaux du comité mentionné à l'article 39. Il assiste de plein droit aux réunions de ce comité lorsque la situation de la collectivité auprès de laquelle il est placé est évoquée.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lastRenderedPageBreak/>
        <w:t>Art. 4-1.-</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b/>
          <w:bCs/>
          <w:color w:val="FF0000"/>
          <w:lang w:eastAsia="fr-FR"/>
        </w:rPr>
        <w:t>I.-</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 xml:space="preserve">La mission des agents mentionnés à l'article 4 est d'assister et de conseiller l'autorité territoriale auprès de laquelle ils sont placés, dans la démarche d'évaluation des risques et dans la mise en place d'une politique de prévention des risques ainsi que dans la mise en </w:t>
      </w:r>
      <w:proofErr w:type="spellStart"/>
      <w:r w:rsidRPr="00A415EF">
        <w:rPr>
          <w:rFonts w:ascii="Calibri" w:eastAsia="Times New Roman" w:hAnsi="Calibri" w:cs="Times New Roman"/>
          <w:color w:val="FF0000"/>
          <w:sz w:val="19"/>
          <w:szCs w:val="19"/>
          <w:lang w:eastAsia="fr-FR"/>
        </w:rPr>
        <w:t>oeuvre</w:t>
      </w:r>
      <w:proofErr w:type="spellEnd"/>
      <w:r w:rsidRPr="00A415EF">
        <w:rPr>
          <w:rFonts w:ascii="Calibri" w:eastAsia="Times New Roman" w:hAnsi="Calibri" w:cs="Times New Roman"/>
          <w:color w:val="FF0000"/>
          <w:sz w:val="19"/>
          <w:szCs w:val="19"/>
          <w:lang w:eastAsia="fr-FR"/>
        </w:rPr>
        <w:t xml:space="preserve"> des règles de sécurité et d'hygiène au travail visant à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Prévenir les dangers susceptibles de compromettre la sécurité ou la santé des agents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2° Améliorer les méthodes et le milieu du travail en adaptant les conditions de travail en fonction de l'aptitude physique des agents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3° Faire progresser la connaissance des problèmes de sécurité et des techniques propres à les résoudre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4° Veiller à l'observation des prescriptions législatives et réglementaires prises en ces matières et à la bonne tenue du registre de santé et de sécurité au travail dans tous les services.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II.-</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Au titre de cette mission, les agents mentionnés à l'article 4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Proposent des mesures pratiques propres à améliorer la prévention des risques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2° Participent, en collaboration avec les autres acteurs, à la sensibilisation, l'information et la formation des personnels.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III.-</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conseiller de prévention ou, à défaut, l'un des assistants de prévention est associé aux travaux du comité mentionné à l'article 37. Il assiste de plein droit, avec voix consultative, aux réunions de ce comité, lorsque la situation de la collectivité auprès de laquelle il est placé est évoquée.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4-2.-</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En application du 2° de l'article 1er de la loi du 12 juillet 1984 susvisée, une formation préalable à la prise de fonction et une formation continue sont dispensées aux agents désignés en application de l'article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108-3 de la loi du 26 janvier 1984 susvisée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4</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en matière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d'hygiène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de santé</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et de sécurité.</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Les modalités de cette formation sont définies par arrêté conjoint du ministre chargé du travail et du ministre chargé des collectivités territoriales.</w:t>
      </w:r>
    </w:p>
    <w:p w:rsidR="00A170F1" w:rsidRDefault="00A415EF" w:rsidP="00A415EF">
      <w:pPr>
        <w:shd w:val="clear" w:color="auto" w:fill="FFFFFF"/>
        <w:spacing w:after="0" w:line="264" w:lineRule="atLeast"/>
        <w:ind w:right="150"/>
        <w:jc w:val="both"/>
        <w:rPr>
          <w:rFonts w:ascii="Calibri" w:eastAsia="Times New Roman" w:hAnsi="Calibri" w:cs="Times New Roman"/>
          <w:strike/>
          <w:color w:val="000000"/>
          <w:sz w:val="19"/>
          <w:szCs w:val="19"/>
          <w:lang w:eastAsia="fr-FR"/>
        </w:rPr>
      </w:pPr>
      <w:r w:rsidRPr="00A415EF">
        <w:rPr>
          <w:rFonts w:ascii="Calibri" w:eastAsia="Times New Roman" w:hAnsi="Calibri" w:cs="Times New Roman"/>
          <w:b/>
          <w:bCs/>
          <w:color w:val="000000"/>
          <w:lang w:eastAsia="fr-FR"/>
        </w:rPr>
        <w:t>Art. 5.-</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L'autorité territoriale désigne également, après avis du comité mentionné à l'article 39, le ou les agents qui sont chargés d'assurer une fonction d'inspection dans le domaine de l'hygiène et de la sécurité ou peut passer convention à cet effet avec le centre de gestion.</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L'autorité territoriale désigne également, après avis du comité mentionné à l'article 37, le ou les agents qui sont chargés d'assurer une fonction d'inspection dans le domaine de la santé et de la sécurité. Elle peut passer convention avec le centre de gestion pour la mise à disposition de tels agents dans le cadre de l'article 25 de la loi du 26 janvier 1984 susvisée.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Ces agents ne peuvent être ceux mentionnés à l'article 4.</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L'autorité territoriale élabore une lettre de mission, qui est transmise pour information au comité, mentionné à l'article 37. Dans le cas d'un agent mis à disposition par le centre de gestion, la lettre de mission est établie sur la base de la convention passée avec le centre de gestion et transmise pour information au comité mentionné à l'article 37 de la collectivité territoriale ou de l'établissement dans lequel l'agent est amené à exercer ses fonctions.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Ces agents contrôlent les conditions d'application des règles d'hygiène et de sécurité et proposent à l'autorité territoriale compétente toute mesure qui leur paraît de nature à améliorer l'hygiène et la sécurité du travail et la prévention des risques professionnels.</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Dans ce cadre, ils ont librement accès à tous les établissements, locaux et lieux de travail dépendant des services à inspecter et se font présenter les registres et documents imposés par la réglementation.</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En cas d'urgence ils proposent à l'autorité territoriale les mesures immédiates qu'ils jugent nécessaires. L'autorité territoriale les informe des suites données à leurs propositions.</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En application du 2° de l'article 1er de la loi du 12 juillet 1984 précitée, une formation en matière d'hygiène et de sécurité est assurée à ces agents préalablement à leur prise de fonction. Les modalités de cette formation sont définies par arrêté conjoint du ministre chargé du travail et du ministre chargé des collectivités territoriales.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agents chargés d'une fonction d'inspection dans le domaine de la santé et de la sécurité peuvent assister avec voix consultative aux réunions du comité mentionné à l'article 37, lorsque la situation de la collectivité auprès de laquelle il est placé est évoquée.</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L'autorité territoriale ou le centre de gestion peut demander au ministre chargé du travail de lui assurer le concours des agents des services de l'inspection du travail, soit pour des missions permanentes, soit pour des interventions temporaires.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5-1.-</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Si un agent a un motif raisonnable de penser que sa situation de travail présente un danger grave et imminent pour sa vie ou pour sa santé ou s'il constate une défectuosité dans les systèmes de protection, il en avise immédiatement son supérieur hiérarchique.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Il peut se retirer d'une telle situation.</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L'autorité territoriale prend les mesures et donne les instructions nécessaires pour permettre aux agents, en cas de danger grave et imminent, d'arrêter leur activité et de se mettre en sécurité en quittant immédiatement leur lieu de travail.</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lastRenderedPageBreak/>
        <w:t>Aucune sanction ne peut être prise, aucune retenue de rémunération ne peut être effectuée à l'encontre d'agents qui se sont retirés d'une situation de travail dont ils avaient un motif raisonnable de penser qu'elle présentait un danger grave et imminent pour leur vie ou pour leur santé.</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La faculté ouverte au présent article doit s'exercer de telle manière qu'elle ne puisse créer pour autrui une nouvelle situation de danger grave et imminent.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L'autorité territoriale ne peut demander à l'agent de reprendre son activité dans une situation de travail présentant un danger grave et imminent.</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L'autorité territoriale ne peut demander à l'agent qui a fait usage de son droit de retrait de reprendre son activité dans une situation de travail où persiste un danger grave et imminent résultant notamment d'une défectuosité du système de protection.</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La détermination des missions de sécurité</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des biens et des personnes</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des personnes et des biens</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qui sont incompatibles avec l'exercice du droit de retrait individuel défini ci- dessus en tant que celui-ci compromettrait l'exécution même des missions propres de ce service, notamment dans le cadre de la sécurité civile et de la police municipale, est effectuée par voie d'arrêté interministériel du ministre chargé des collectivités territoriales, du ministre chargé du travail et du ministre dont relève le domaine, pris après avis du Conseil supérieur de la fonction publique territoriale.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5-2.-</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Si un membre du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constate, notamment par l'intermédiaire d'un agent qui s'est retiré d'une situation de travail définie au premier alinéa de l'article 5-1, qu'il existe une cause de danger grave et imminent, il en avise immédiatement l'autorité territoriale et consigne cet avis dans le registre établi dans les conditions fixées à l'article 5-3.</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Il est procédé à une enquête immédiate par l'autorité territoriale, en compagnie du membre du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ayant signalé le danger. L'autorité territoriale prend les mesures nécessaires pour remédier à la situation et informe le comité des décisions prises.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En cas de divergence sur la réalité du danger ou la façon de le faire cesser, le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est réuni en urgence dans un délai n'excédant pas vingt-quatre heures.</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L'inspecteur du travail est informé de cette réunion et peut y assister.</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En cas de désaccord persistant, après l'intervention du ou des agents mentionnés à l'article 5, l'autorité territoriale ainsi que la moitié au moins des représentants titulaires du personnel au sein du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peuvent solliciter l'intervention de l'inspection du travail.</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xml:space="preserve">Peuvent être sollicitées, dans les mêmes conditions, l'intervention, dans leurs domaines d'attribution respectifs, d'un membre du corps des vétérinaires inspecteurs ou du corps des médecins inspecteurs de la santé et du corps des médecins inspecteurs régionaux du travail et de la </w:t>
      </w:r>
      <w:proofErr w:type="spellStart"/>
      <w:r w:rsidRPr="00A415EF">
        <w:rPr>
          <w:rFonts w:ascii="Calibri" w:eastAsia="Times New Roman" w:hAnsi="Calibri" w:cs="Times New Roman"/>
          <w:color w:val="000000"/>
          <w:sz w:val="19"/>
          <w:szCs w:val="19"/>
          <w:lang w:eastAsia="fr-FR"/>
        </w:rPr>
        <w:t>main-d'oeuvre</w:t>
      </w:r>
      <w:proofErr w:type="spellEnd"/>
      <w:r w:rsidRPr="00A415EF">
        <w:rPr>
          <w:rFonts w:ascii="Calibri" w:eastAsia="Times New Roman" w:hAnsi="Calibri" w:cs="Times New Roman"/>
          <w:color w:val="000000"/>
          <w:sz w:val="19"/>
          <w:szCs w:val="19"/>
          <w:lang w:eastAsia="fr-FR"/>
        </w:rPr>
        <w:t xml:space="preserve"> ainsi que l'intervention du service de la sécurité civile.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L'intervention prévue aux alinéas 4 et 5 du présent article donne lieu à un rapport adressé conjointement à l'autorité territoriale, au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et à l'agent mentionné à l'article 5. Ce rapport indique, s'il y a lieu, les manquements en matière d'hygiène et de sécurité et les mesures proposées pour remédier à la situation.</w:t>
      </w:r>
    </w:p>
    <w:p w:rsidR="00A415EF" w:rsidRPr="00A415EF" w:rsidRDefault="00A415EF" w:rsidP="00A170F1">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L'autorité territoriale adresse dans les quinze jours à l'auteur du rapport une réponse motivée indiquant :</w:t>
      </w: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les mesures prises immédiatement après l'enquête prévue au premier alinéa du présent article ;</w:t>
      </w: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les mesures prises à la suite de l'avis émis par le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réuni en urgence ;</w:t>
      </w: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les mesures prises au vu du rapport ;</w:t>
      </w:r>
    </w:p>
    <w:p w:rsid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xml:space="preserve">- les mesures qu'elle va prendre et le calendrier de leur mise en </w:t>
      </w:r>
      <w:proofErr w:type="spellStart"/>
      <w:r w:rsidRPr="00A415EF">
        <w:rPr>
          <w:rFonts w:ascii="Calibri" w:eastAsia="Times New Roman" w:hAnsi="Calibri" w:cs="Times New Roman"/>
          <w:color w:val="000000"/>
          <w:sz w:val="19"/>
          <w:szCs w:val="19"/>
          <w:lang w:eastAsia="fr-FR"/>
        </w:rPr>
        <w:t>oeuvre</w:t>
      </w:r>
      <w:proofErr w:type="spellEnd"/>
      <w:r w:rsidRPr="00A415EF">
        <w:rPr>
          <w:rFonts w:ascii="Calibri" w:eastAsia="Times New Roman" w:hAnsi="Calibri" w:cs="Times New Roman"/>
          <w:color w:val="000000"/>
          <w:sz w:val="19"/>
          <w:szCs w:val="19"/>
          <w:lang w:eastAsia="fr-FR"/>
        </w:rPr>
        <w:t>.</w:t>
      </w:r>
    </w:p>
    <w:p w:rsidR="00A170F1" w:rsidRPr="00A415EF" w:rsidRDefault="00A170F1"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L'autorité territoriale communique, dans le même délai, copie de sa réponse au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szCs w:val="19"/>
          <w:lang w:eastAsia="fr-FR"/>
        </w:rPr>
        <w:t>ainsi qu'à l'agent mentionné à l'article 5.</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5-3.-</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Les avis mentionnés au premier alinéa de l'article 5-2 sont consignés dans un registre spécial coté et ouvert au timbre du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szCs w:val="19"/>
          <w:lang w:eastAsia="fr-FR"/>
        </w:rPr>
        <w:t>. Sous la responsabilité de l'autorité territoriale, ce registre est tenu à la disposition des membres de ce comité et de tout agent qui est intervenu en application de l'article 5-2.</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Tout avis figurant sur le registre doit être daté et signé et comporter l'indication des postes de travail concernés, de la nature du danger et de sa cause, du nom de la ou des personnes exposées. Les mesures prises par l'autorité territoriale y sont également consignées.</w:t>
      </w:r>
    </w:p>
    <w:p w:rsidR="00A415EF" w:rsidRDefault="00A415EF" w:rsidP="00A170F1">
      <w:pPr>
        <w:shd w:val="clear" w:color="auto" w:fill="FFFFFF"/>
        <w:spacing w:after="0" w:line="264" w:lineRule="atLeast"/>
        <w:ind w:right="150"/>
        <w:jc w:val="both"/>
        <w:rPr>
          <w:rFonts w:ascii="Calibri" w:eastAsia="Times New Roman" w:hAnsi="Calibri" w:cs="Times New Roman"/>
          <w:b/>
          <w:bCs/>
          <w:color w:val="000000"/>
          <w:lang w:eastAsia="fr-FR"/>
        </w:rPr>
      </w:pPr>
      <w:r w:rsidRPr="00A415EF">
        <w:rPr>
          <w:rFonts w:ascii="Calibri" w:eastAsia="Times New Roman" w:hAnsi="Calibri" w:cs="Times New Roman"/>
          <w:b/>
          <w:bCs/>
          <w:color w:val="000000"/>
          <w:lang w:eastAsia="fr-FR"/>
        </w:rPr>
        <w:t>Art. 5-4.-</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régime de réparation applicable en cas de faute inexcusable de l'employeur définie à l'article L. 452 1 du code de la sécurité sociale est de droit pour les agents relevant du régime général de la sécurité sociale ou du régime de la mutualité sociale agricole qui seraient victimes d'un accident du travail ou d'une maladie professionnelle alors qu'eux- mêmes ou un membre du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avaient signalé au chef du service ou à son représentant le risque qui s'est matérialisé.</w:t>
      </w:r>
      <w:r>
        <w:rPr>
          <w:rFonts w:ascii="Calibri" w:eastAsia="Times New Roman" w:hAnsi="Calibri" w:cs="Times New Roman"/>
          <w:b/>
          <w:bCs/>
          <w:color w:val="000000"/>
          <w:lang w:eastAsia="fr-FR"/>
        </w:rPr>
        <w:br w:type="page"/>
      </w:r>
    </w:p>
    <w:p w:rsidR="00A170F1" w:rsidRDefault="00A415EF" w:rsidP="00A415EF">
      <w:pPr>
        <w:shd w:val="clear" w:color="auto" w:fill="FFFFFF"/>
        <w:spacing w:after="0" w:line="264" w:lineRule="atLeast"/>
        <w:jc w:val="center"/>
        <w:rPr>
          <w:rFonts w:ascii="Calibri" w:eastAsia="Times New Roman" w:hAnsi="Calibri" w:cs="Times New Roman"/>
          <w:b/>
          <w:bCs/>
          <w:color w:val="000000"/>
          <w:lang w:eastAsia="fr-FR"/>
        </w:rPr>
      </w:pPr>
      <w:r w:rsidRPr="00A415EF">
        <w:rPr>
          <w:rFonts w:ascii="Calibri" w:eastAsia="Times New Roman" w:hAnsi="Calibri" w:cs="Times New Roman"/>
          <w:b/>
          <w:bCs/>
          <w:color w:val="000000"/>
          <w:lang w:eastAsia="fr-FR"/>
        </w:rPr>
        <w:lastRenderedPageBreak/>
        <w:t>TITRE II</w:t>
      </w:r>
    </w:p>
    <w:p w:rsidR="00A415EF" w:rsidRDefault="00A415EF" w:rsidP="00A415EF">
      <w:pPr>
        <w:shd w:val="clear" w:color="auto" w:fill="FFFFFF"/>
        <w:spacing w:after="0" w:line="264" w:lineRule="atLeast"/>
        <w:jc w:val="center"/>
        <w:rPr>
          <w:rFonts w:ascii="Calibri" w:eastAsia="Times New Roman" w:hAnsi="Calibri" w:cs="Times New Roman"/>
          <w:b/>
          <w:bCs/>
          <w:color w:val="000000"/>
          <w:lang w:eastAsia="fr-FR"/>
        </w:rPr>
      </w:pPr>
      <w:r w:rsidRPr="00A415EF">
        <w:rPr>
          <w:rFonts w:ascii="Calibri" w:eastAsia="Times New Roman" w:hAnsi="Calibri" w:cs="Times New Roman"/>
          <w:b/>
          <w:bCs/>
          <w:color w:val="000000"/>
          <w:lang w:eastAsia="fr-FR"/>
        </w:rPr>
        <w:t>Formation en matière d'hygiène et de sécurité</w:t>
      </w:r>
    </w:p>
    <w:p w:rsidR="00A170F1" w:rsidRPr="00A415EF" w:rsidRDefault="00A170F1" w:rsidP="00A170F1">
      <w:pPr>
        <w:shd w:val="clear" w:color="auto" w:fill="FFFFFF"/>
        <w:spacing w:after="0" w:line="240" w:lineRule="auto"/>
        <w:jc w:val="center"/>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6.-</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En application du 2° de l'article 1er de la loi du 12 juillet 1984 précitée, une formation pratique et appropriée en matière d'hygiène et de sécurité est organisée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1° Lors de l'entrée en fonctions des agents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2° Lorsque par suite d'un changement de fonctions, de techniques, de matériel ou d'une transformation des locaux, les agents se trouvent exposés à des risques nouveaux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3° En cas d'accident de service grave ou de maladie professionnelle ou à caractère professionnel grave ayant entraîné mort d'homme, ou paraissant devoir entraîner une incapacité permanente, ou ayant révélé l'existence d'un danger grave, même si les conséquences ont pu en être évitées ;</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4° En cas d'accident de service ou de maladie professionnelle ou à caractère professionnel présentant un caractère répété à un même poste de travail, ou à des postes de travail similaires ou dans une même fonction, ou des fonctions similaires.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A la demande du service de médecine préventive, une formation à l'hygiène et à la sécurité peut également</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être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organisée au profit des agents qui reprennent leur activité après un arrêt de travail consécutif à un accident de service ou à une maladie professionnelle.</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La formation en matière d'hygiène et de sécurité est au nombre des actions prévues par la loi n°84-594 du 12 juillet 1984 relative à la formation.</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La formation à l'hygiène et à la sécurité a pour objet d'instruire l'agent des précautions à prendre pour assurer sa propre sécurité, celle de ses collègues de travail et, le cas échéant, celle des usagers du service.</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Cette formation, normalement dispensée sur les lieux de travail, porte en particulier sur les conditions de circulation sur les lieux de travail et, notamment, les issues et dégagements de secours, les conditions d'exécution du travail et, notamment, les comportements à observer aux différents postes de travail et le fonctionnement des dispositifs de protection et de secours, et les dispositions à prendre en cas d'accident ou de sinistre ainsi que les responsabilités encourues.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8.-</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Les membres représentants du personnel des organismes compétents en matière d'hygiène et de sécurité visés au titre IV du présent décret bénéficient d'une formation d'une durée minimale de cinq jours au cours de leur mandat.</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Les membres représentants du personnel des organismes compétents en matière d'hygiène de sécurité et des conditions de travail visés au titre IV du présent décret bénéficient, au cours du premier semestre de leur mandat, d'une formation d'une durée minimale de cinq jours, renouvelée à chaque mandat.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La formation prévue à l'alinéa précédent est dispensée soit par un organisme figurant sur la liste arrêtée par le préfet de région en application de l'article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R. 236-18</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R. 4614-25</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 xml:space="preserve">du code du travail, soit par un des organismes visés à l'article </w:t>
      </w:r>
      <w:proofErr w:type="spellStart"/>
      <w:r w:rsidRPr="00A415EF">
        <w:rPr>
          <w:rFonts w:ascii="Calibri" w:eastAsia="Times New Roman" w:hAnsi="Calibri" w:cs="Times New Roman"/>
          <w:color w:val="000000"/>
          <w:sz w:val="19"/>
          <w:szCs w:val="19"/>
          <w:lang w:eastAsia="fr-FR"/>
        </w:rPr>
        <w:t>ler</w:t>
      </w:r>
      <w:proofErr w:type="spellEnd"/>
      <w:r w:rsidRPr="00A415EF">
        <w:rPr>
          <w:rFonts w:ascii="Calibri" w:eastAsia="Times New Roman" w:hAnsi="Calibri" w:cs="Times New Roman"/>
          <w:color w:val="000000"/>
          <w:sz w:val="19"/>
          <w:szCs w:val="19"/>
          <w:lang w:eastAsia="fr-FR"/>
        </w:rPr>
        <w:t xml:space="preserve"> du décret n°85- 552 du 22 mai 1985 relatif à l'attribution aux agents de la fonction publique territoriale du congé pour formation syndicale, soit par</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des organismes agréés par arrêté ministériel</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le Centre national de la fonction publique territoriale selon les modalités prévues à l’article 23 de la loi du 12 juillet 1984 susvisée</w:t>
      </w:r>
      <w:r w:rsidRPr="00A415EF">
        <w:rPr>
          <w:rFonts w:ascii="Calibri" w:eastAsia="Times New Roman" w:hAnsi="Calibri" w:cs="Times New Roman"/>
          <w:color w:val="000000"/>
          <w:sz w:val="19"/>
          <w:szCs w:val="19"/>
          <w:lang w:eastAsia="fr-FR"/>
        </w:rPr>
        <w:t>. Elle est organisée dans les conditions définies par le décret</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n°85-1076 du 9 octobre 1985 pris en application des articles 4, 5 et 6 de la loi n°84-594 du 12 juillet 1984 et relatif à l'exercice du droit à la formation des agents de la fonction publique territoriale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n°2007-1845 du 26 décembre 2007 relatif à la formation professionnelle tout au long de la vie des agents de la fonction publique territoriale.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Conformément aux dispositions des articles R. 4614-21 à R. 4614-23 du code du travail, le contenu des formations visées au premier alinéa du présent article doit permettre aux représentants du personnel au sein des comités d'hygiène, de sécurité et de conditions de travail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De développer leur aptitude à déceler et à mesurer les risques professionnels et leur capacité d'analyse des conditions de travail ;</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 xml:space="preserve">2° De les initier aux méthodes et procédés à mettre en </w:t>
      </w:r>
      <w:proofErr w:type="spellStart"/>
      <w:r w:rsidRPr="00A415EF">
        <w:rPr>
          <w:rFonts w:ascii="Calibri" w:eastAsia="Times New Roman" w:hAnsi="Calibri" w:cs="Times New Roman"/>
          <w:color w:val="FF0000"/>
          <w:sz w:val="19"/>
          <w:szCs w:val="19"/>
          <w:lang w:eastAsia="fr-FR"/>
        </w:rPr>
        <w:t>oeuvre</w:t>
      </w:r>
      <w:proofErr w:type="spellEnd"/>
      <w:r w:rsidRPr="00A415EF">
        <w:rPr>
          <w:rFonts w:ascii="Calibri" w:eastAsia="Times New Roman" w:hAnsi="Calibri" w:cs="Times New Roman"/>
          <w:color w:val="FF0000"/>
          <w:sz w:val="19"/>
          <w:szCs w:val="19"/>
          <w:lang w:eastAsia="fr-FR"/>
        </w:rPr>
        <w:t xml:space="preserve"> pour prévenir les risques professionnels et améliorer les conditions de travail.</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La formation à l'hygiène et à la sécurité se déroule pendant les heures de service. Le temps passé à cette formation est considéré comme temps de service.</w:t>
      </w:r>
    </w:p>
    <w:p w:rsidR="00A170F1" w:rsidRDefault="00A170F1">
      <w:pPr>
        <w:rPr>
          <w:rFonts w:ascii="Calibri" w:eastAsia="Times New Roman" w:hAnsi="Calibri" w:cs="Times New Roman"/>
          <w:color w:val="000000"/>
          <w:sz w:val="19"/>
          <w:szCs w:val="19"/>
          <w:lang w:eastAsia="fr-FR"/>
        </w:rPr>
      </w:pPr>
      <w:r>
        <w:rPr>
          <w:rFonts w:ascii="Calibri" w:eastAsia="Times New Roman" w:hAnsi="Calibri" w:cs="Times New Roman"/>
          <w:color w:val="000000"/>
          <w:sz w:val="19"/>
          <w:szCs w:val="19"/>
          <w:lang w:eastAsia="fr-FR"/>
        </w:rPr>
        <w:br w:type="page"/>
      </w:r>
    </w:p>
    <w:p w:rsidR="00A170F1" w:rsidRPr="00A415EF" w:rsidRDefault="00A170F1"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170F1" w:rsidRDefault="00A415EF" w:rsidP="00A415EF">
      <w:pPr>
        <w:shd w:val="clear" w:color="auto" w:fill="FFFFFF"/>
        <w:spacing w:after="0" w:line="264" w:lineRule="atLeast"/>
        <w:jc w:val="center"/>
        <w:rPr>
          <w:rFonts w:ascii="Calibri" w:eastAsia="Times New Roman" w:hAnsi="Calibri" w:cs="Times New Roman"/>
          <w:b/>
          <w:bCs/>
          <w:color w:val="000000"/>
          <w:lang w:eastAsia="fr-FR"/>
        </w:rPr>
      </w:pPr>
      <w:r w:rsidRPr="00A415EF">
        <w:rPr>
          <w:rFonts w:ascii="Calibri" w:eastAsia="Times New Roman" w:hAnsi="Calibri" w:cs="Times New Roman"/>
          <w:b/>
          <w:bCs/>
          <w:color w:val="000000"/>
          <w:lang w:eastAsia="fr-FR"/>
        </w:rPr>
        <w:t>TITRE III</w:t>
      </w:r>
    </w:p>
    <w:p w:rsidR="00A415EF" w:rsidRDefault="00A415EF" w:rsidP="00A415EF">
      <w:pPr>
        <w:shd w:val="clear" w:color="auto" w:fill="FFFFFF"/>
        <w:spacing w:after="0" w:line="264" w:lineRule="atLeast"/>
        <w:jc w:val="center"/>
        <w:rPr>
          <w:rFonts w:ascii="Calibri" w:eastAsia="Times New Roman" w:hAnsi="Calibri" w:cs="Times New Roman"/>
          <w:b/>
          <w:bCs/>
          <w:color w:val="000000"/>
          <w:lang w:eastAsia="fr-FR"/>
        </w:rPr>
      </w:pPr>
      <w:r w:rsidRPr="00A415EF">
        <w:rPr>
          <w:rFonts w:ascii="Calibri" w:eastAsia="Times New Roman" w:hAnsi="Calibri" w:cs="Times New Roman"/>
          <w:b/>
          <w:bCs/>
          <w:color w:val="000000"/>
          <w:lang w:eastAsia="fr-FR"/>
        </w:rPr>
        <w:t>Médecine professionnelle et préventive</w:t>
      </w:r>
    </w:p>
    <w:p w:rsidR="00A170F1" w:rsidRPr="00A415EF" w:rsidRDefault="00A170F1" w:rsidP="00A170F1">
      <w:pPr>
        <w:shd w:val="clear" w:color="auto" w:fill="FFFFFF"/>
        <w:spacing w:after="0" w:line="240" w:lineRule="auto"/>
        <w:jc w:val="center"/>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10.-</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Les collectivités et établissements visés à l'article 1er disposent d'un service de médecine préventive dans les conditions définies à l'article 108-2 de la loi du 26 janvier 1984 précitée.</w:t>
      </w:r>
    </w:p>
    <w:p w:rsidR="00A170F1" w:rsidRPr="00A415EF" w:rsidRDefault="00A170F1"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CHAPITRE Ier : Organisation des services de médecine préventive</w:t>
      </w:r>
    </w:p>
    <w:p w:rsidR="00A170F1" w:rsidRPr="00A415EF" w:rsidRDefault="00A170F1"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11.-</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b/>
          <w:bCs/>
          <w:color w:val="FF0000"/>
          <w:lang w:eastAsia="fr-FR"/>
        </w:rPr>
        <w:t>I.-</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Les missions du service de médecine préventive sont assurées par un ou plusieurs médecins appartenant :</w:t>
      </w: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soit au service créé par la collectivité ou l'établissement ;</w:t>
      </w: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soit à un service commun à plusieurs collectivités auxquelles celles-ci ont adhéré ;</w:t>
      </w: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soit au service crée par le centre de gestion de la fonction publique territoriale ;</w:t>
      </w:r>
    </w:p>
    <w:p w:rsidR="00A170F1" w:rsidRDefault="00A415EF" w:rsidP="00A170F1">
      <w:pPr>
        <w:shd w:val="clear" w:color="auto" w:fill="FFFFFF"/>
        <w:spacing w:after="0" w:line="240" w:lineRule="auto"/>
        <w:ind w:right="147"/>
        <w:jc w:val="both"/>
        <w:rPr>
          <w:rFonts w:ascii="Calibri" w:eastAsia="Times New Roman" w:hAnsi="Calibri" w:cs="Times New Roman"/>
          <w:color w:val="FF0000"/>
          <w:sz w:val="19"/>
          <w:szCs w:val="19"/>
          <w:lang w:eastAsia="fr-FR"/>
        </w:rPr>
      </w:pPr>
      <w:r w:rsidRPr="00A415EF">
        <w:rPr>
          <w:rFonts w:ascii="Calibri" w:eastAsia="Times New Roman" w:hAnsi="Calibri" w:cs="Times New Roman"/>
          <w:strike/>
          <w:color w:val="000000"/>
          <w:sz w:val="19"/>
          <w:szCs w:val="19"/>
          <w:lang w:eastAsia="fr-FR"/>
        </w:rPr>
        <w:t>- soit à un service de médecine du travail interentreprises et avec lequel l'autorité territoriale passe une convention ;</w:t>
      </w:r>
      <w:r w:rsidRPr="00A415EF">
        <w:rPr>
          <w:rFonts w:ascii="Calibri" w:eastAsia="Times New Roman" w:hAnsi="Calibri" w:cs="Times New Roman"/>
          <w:color w:val="FF0000"/>
          <w:sz w:val="19"/>
          <w:szCs w:val="19"/>
          <w:lang w:eastAsia="fr-FR"/>
        </w:rPr>
        <w:t>- soit à un service de santé au travail régi par le titre II du livre VI de la quatrième partie du code du travail avec lequel la collectivité ou l'établissement passe une convention après avis du comité mentionné à l'article 37. Dans ce cas, les articles du code du travail régissant les organes de surveillance et de consultation des services de santé au travail interentreprises ne s'appliquent pas et le comité d'hygiène, de sécurité et des conditions de travail compétent est informé pour avis de l'organisation et des modalités de fonctionnement de ce secteur médical.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i/>
          <w:iCs/>
          <w:color w:val="000000"/>
          <w:lang w:eastAsia="fr-FR"/>
        </w:rPr>
        <w:t>NDLR : le décret modificatif n°2012-70 du 3 février 2012 a prévu le remplacement du 4ème alinéa de l'article 11 du décret n°85-603 ; il semble cependant que c'est le 5ème alinéa qui aurait dû être remplacé, ainsi que cela a été fait ici.</w:t>
      </w: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soit à un service de santé au travail en agriculture prévu à l'article L. 717-2 du code rural avec lequel l'autorité territoriale passe une convention dans les conditions prévues par l'article R. 717-38 du même code.</w:t>
      </w:r>
    </w:p>
    <w:p w:rsidR="00A415EF" w:rsidRPr="00A415EF" w:rsidRDefault="00A415EF" w:rsidP="00A170F1">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 soit, à défaut, à une association à but non lucratif à laquelle la collectivité ou l'établissement a adhéré, après avis du comité mentionné à l'article 37 et ayant reçu un agrément pour un secteur médical spécifique réservé aux agents publics dans les conditions prévues par l'article 11 du décret n° 82-453 du 28 mai 1982 relatif à l'hygiène et à la sécurité du travail ainsi qu'à la prévention médicale dans la fonction publique.</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Les médecins peuvent être assistés par du personnel infirmier et, le cas échéant, par du personnel de secrétariat médico-social.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II.―</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 xml:space="preserve">Afin d'assurer la mise en </w:t>
      </w:r>
      <w:proofErr w:type="spellStart"/>
      <w:r w:rsidRPr="00A415EF">
        <w:rPr>
          <w:rFonts w:ascii="Calibri" w:eastAsia="Times New Roman" w:hAnsi="Calibri" w:cs="Times New Roman"/>
          <w:color w:val="FF0000"/>
          <w:sz w:val="19"/>
          <w:szCs w:val="19"/>
          <w:lang w:eastAsia="fr-FR"/>
        </w:rPr>
        <w:t>oeuvre</w:t>
      </w:r>
      <w:proofErr w:type="spellEnd"/>
      <w:r w:rsidRPr="00A415EF">
        <w:rPr>
          <w:rFonts w:ascii="Calibri" w:eastAsia="Times New Roman" w:hAnsi="Calibri" w:cs="Times New Roman"/>
          <w:color w:val="FF0000"/>
          <w:sz w:val="19"/>
          <w:szCs w:val="19"/>
          <w:lang w:eastAsia="fr-FR"/>
        </w:rPr>
        <w:t xml:space="preserve"> des compétences médicales, techniques et organisationnelles nécessaires à la prévention des risques professionnels et à l'amélioration des conditions de travail, les services de médecine préventive peuvent faire appel aux côtés du médecin de prévention et, le cas échéant, du personnel infirmier et de secrétariat médico-social, à des personnes ou des organismes possédant des compétences dans ces domaines.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L'équipe pluridisciplinaire ainsi constituée est placée sous la responsabilité de l'autorité territoriale ; elle est animée et coordonnée par le médecin de prévention. L'indépendance des personnes et organismes associés extérieurs à l'administration est garantie dans le cadre d'une convention qui précise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Les actions qui leur sont confiées et les modalités de leur exercice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2° Les moyens mis à leur disposition ainsi que les règles assurant leur accès aux lieux de travail et les conditions d'accomplissement de leurs missions, notamment celles propres à assurer la libre présentation de leurs observations ou propositions.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 xml:space="preserve">Les services sociaux peuvent être associés à la mise en </w:t>
      </w:r>
      <w:proofErr w:type="spellStart"/>
      <w:r w:rsidRPr="00A415EF">
        <w:rPr>
          <w:rFonts w:ascii="Calibri" w:eastAsia="Times New Roman" w:hAnsi="Calibri" w:cs="Times New Roman"/>
          <w:color w:val="FF0000"/>
          <w:sz w:val="19"/>
          <w:szCs w:val="19"/>
          <w:lang w:eastAsia="fr-FR"/>
        </w:rPr>
        <w:t>oeuvre</w:t>
      </w:r>
      <w:proofErr w:type="spellEnd"/>
      <w:r w:rsidRPr="00A415EF">
        <w:rPr>
          <w:rFonts w:ascii="Calibri" w:eastAsia="Times New Roman" w:hAnsi="Calibri" w:cs="Times New Roman"/>
          <w:color w:val="FF0000"/>
          <w:sz w:val="19"/>
          <w:szCs w:val="19"/>
          <w:lang w:eastAsia="fr-FR"/>
        </w:rPr>
        <w:t xml:space="preserve"> des actions menées par l'équipe pluridisciplinaire.</w:t>
      </w:r>
    </w:p>
    <w:p w:rsidR="00A415EF" w:rsidRPr="00A415EF" w:rsidRDefault="00A415EF" w:rsidP="00A170F1">
      <w:pPr>
        <w:shd w:val="clear" w:color="auto" w:fill="FFFFFF"/>
        <w:spacing w:after="0" w:line="264" w:lineRule="atLeast"/>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11-1.- </w:t>
      </w:r>
      <w:r w:rsidRPr="00A415EF">
        <w:rPr>
          <w:rFonts w:ascii="Calibri" w:eastAsia="Times New Roman" w:hAnsi="Calibri" w:cs="Times New Roman"/>
          <w:color w:val="000000"/>
          <w:sz w:val="19"/>
          <w:szCs w:val="19"/>
          <w:lang w:eastAsia="fr-FR"/>
        </w:rPr>
        <w:t>Le temps minimal que le médecin du service de médecine préventive doit consacrer à ses missions est fixé à une heure par mois :</w:t>
      </w:r>
    </w:p>
    <w:p w:rsidR="00A415EF" w:rsidRPr="00A415EF" w:rsidRDefault="00A415EF" w:rsidP="00A170F1">
      <w:pPr>
        <w:shd w:val="clear" w:color="auto" w:fill="FFFFFF"/>
        <w:spacing w:after="0" w:line="264" w:lineRule="atLeast"/>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pour vingt agents ;</w:t>
      </w:r>
    </w:p>
    <w:p w:rsidR="00A415EF" w:rsidRPr="00A415EF" w:rsidRDefault="00A415EF" w:rsidP="00A170F1">
      <w:pPr>
        <w:shd w:val="clear" w:color="auto" w:fill="FFFFFF"/>
        <w:spacing w:after="0" w:line="264" w:lineRule="atLeast"/>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dix agents appartenant aux catégories mentionnées à l'article 21.</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11-2.-</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médecin du service de médecine préventive exerce son activité médicale, en toute indépendance et dans le respect des dispositions du code de déontologie médicale et du code de la santé publique.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Le médecin de prévention agit dans l'intérêt exclusif de la santé et de la sécurité des agents dont il assure la surveillance médicale.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Ce médecin ne peut être chargé des visites d'aptitude physique prévues à l'article 10 du décret n°87 602 du 30 juillet 1987 pris pour l'application de la loi n°84-53 du 26 janvier 1984 portant dispositions statutaires relatives à la fonction publique territoriale et relatif à l'organisation des comités médicaux, aux conditions d'aptitude physique et au régime des congés de maladie des fonctionnaires territoriaux. Il ne peut être médecin de contrôle.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Sans préjudice des missions des médecins chargés des visites d'aptitude physique, le médecin de prévention peut formuler un avis ou émettre des propositions lors de l'affectation de l'agent au poste de travail au vu de ses particularités et au regard de l'état de santé de l'agent.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lastRenderedPageBreak/>
        <w:t>Dans ce cas, les rôles respectifs du médecin de prévention et du médecin agréé s'exercent de façon complémentaire : le médecin agréé vérifie l'aptitude à l'exercice d'un emploi public correspondant aux fonctions postulées ; le médecin de prévention vérifie la compatibilité de l'état de santé de l'agent avec les conditions de travail liées au poste occupé par l'agent.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 médecin de prévention reçoit de l'autorité territoriale, de celle du centre de gestion lorsqu'il appartient à celui-ci, une lettre de mission précisant les services pour lesquels il est compétent, les objectifs de ses fonctions ainsi que les volumes de vacations horaires à accomplir.</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Lorsque l'autorité territoriale décide de ne pas renouveler l'engagement d'un médecin de prévention, pour un motif tiré du changement dans les modalités d'organisation et de fonctionnement du service de médecine de prévention, elle en informe le comité d'hygiène, de sécurité et des conditions de travail en lui communiquant les raisons de ce changement.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En cas de rupture du lien contractuel pour un motif disciplinaire ou lié à la personne du médecin, cette rupture ne peut intervenir qu'après avis du comité mentionné à l'article 37. L'autorité territoriale met en outre l'intéressé en mesure de consulter son dossier. Le médecin doit faire l'objet d'une convocation écrite lui indiquant l'objet de celle-ci. Au cours de l'entretien, l'autorité territoriale est tenue d'indiquer le ou les motifs de la décision envisagée et de recueillir les observations de l'intéressé. L'avis émis par le comité est communiqué sans délai au médecin ainsi qu'à l'autorité territoriale, qui statue par décision motivée. L'autorité territoriale informe le comité de sa décision.</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En cas de faute professionnelle d'ordre déontologique, l'autorité administrative engage la procédure prévue à l'article L. 4124-2 du code de la santé publique. Elle peut suspendre le lien contractuel avec le médecin de prévention en attendant la décision du conseil de l'ordre des médecins.</w:t>
      </w:r>
    </w:p>
    <w:p w:rsidR="00A170F1" w:rsidRPr="00A415EF" w:rsidRDefault="00A170F1"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12.-</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Tout docteur en médecine, pour être engagé dans un service de médecine préventive, doit être titulaire de l'un des diplômes, titres ou certificats exigés pour exercer les fonctions de médecin du travail et dont la liste est fixée par l'article</w:t>
      </w:r>
      <w:r w:rsidR="00A170F1">
        <w:rPr>
          <w:rFonts w:ascii="Calibri" w:eastAsia="Times New Roman" w:hAnsi="Calibri" w:cs="Times New Roman"/>
          <w:color w:val="000000"/>
          <w:sz w:val="19"/>
          <w:szCs w:val="19"/>
          <w:lang w:eastAsia="fr-FR"/>
        </w:rPr>
        <w:t xml:space="preserve"> </w:t>
      </w:r>
      <w:r w:rsidRPr="00A415EF">
        <w:rPr>
          <w:rFonts w:ascii="Calibri" w:eastAsia="Times New Roman" w:hAnsi="Calibri" w:cs="Times New Roman"/>
          <w:strike/>
          <w:color w:val="000000"/>
          <w:sz w:val="19"/>
          <w:szCs w:val="19"/>
          <w:lang w:eastAsia="fr-FR"/>
        </w:rPr>
        <w:t>R. 241-29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R. 4623-2</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du code du travail ou d'autres titres reconnus équivalents dans les conditions prévues par l'article 13 du décret n° 82-453 du 28 mai 1982 relatif à l'hygiène et à la sécurité du travail ainsi qu'à la prévention médicale dans la fonction publique.</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Toutefois ce certificat n'est pas exigé des médecins en fonctions dans un service de médecine professionnelle ou de médecine préventive à la date de publication du présent décret.</w:t>
      </w: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13.-</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Dans chaque service où sont exécutés des travaux dangereux, un ou plusieurs agents doivent avoir reçu obligatoirement l'instruction nécessaire pour donner les premiers secours en cas d'urgence.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CHAPITRE II : Missions des services de médecine préventive</w:t>
      </w:r>
    </w:p>
    <w:p w:rsidR="00923428" w:rsidRPr="00A415EF" w:rsidRDefault="00923428"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i/>
          <w:iCs/>
          <w:color w:val="000000"/>
          <w:sz w:val="19"/>
          <w:szCs w:val="19"/>
          <w:lang w:eastAsia="fr-FR"/>
        </w:rPr>
      </w:pPr>
      <w:r w:rsidRPr="00A415EF">
        <w:rPr>
          <w:rFonts w:ascii="Calibri" w:eastAsia="Times New Roman" w:hAnsi="Calibri" w:cs="Times New Roman"/>
          <w:i/>
          <w:iCs/>
          <w:color w:val="000000"/>
          <w:sz w:val="19"/>
          <w:szCs w:val="19"/>
          <w:lang w:eastAsia="fr-FR"/>
        </w:rPr>
        <w:t>Section I : Action sur le milieu professionnel</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14.-</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service de médecine préventive conseille l'autorité territoriale, les agents et leurs représentants en ce qui concerne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1° L'amélioration des conditions de vie et de travail dans les services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2° L'hygiène générale des locaux de service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3° L'adaptation des postes, des techniques et des rythmes de travail à la physiologie humaine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4° La protection des agents contre l'ensemble des nuisances et les risques d'accidents de service ou de maladie professionnelle ou à caractère professionnel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5° L'hygiène dans les restaurants administratifs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6° L'information sanitaire.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14-1.-</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Dans chaque service d'une collectivité territoriale et dans chaque établissement public relevant d'une collectivité territoriale ou établissement public des collectivités territoriales entrant dans le champ d'application du présent décret, le médecin du service de médecine préventive établit et tient à jour, en liaison avec l'agent désigné en application de l'article 108-3 de la loi du 26 janvier 1984 susvisée et après consultation du comité mentionné à</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szCs w:val="19"/>
          <w:lang w:eastAsia="fr-FR"/>
        </w:rPr>
        <w:t>, une fiche sur laquelle sont consignés les risques professionnels propres au service et les effectifs d'agents exposés à ces risques.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Le médecin du service de médecine préventive a accès aux informations utiles lui permettant d'établir la fiche des risques professionnels mentionnée ci-dessus. Cette fiche est établie</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conformément aux dispositions de l'article R. 241-41-3 du code du travail</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dans les conditions prévues par le code du travail</w:t>
      </w:r>
      <w:r w:rsidRPr="00A415EF">
        <w:rPr>
          <w:rFonts w:ascii="Calibri" w:eastAsia="Times New Roman" w:hAnsi="Calibri" w:cs="Times New Roman"/>
          <w:color w:val="000000"/>
          <w:sz w:val="19"/>
          <w:szCs w:val="19"/>
          <w:lang w:eastAsia="fr-FR"/>
        </w:rPr>
        <w:t>. Elle est communiquée à l'autorité territoriale. Elle est tenue à la disposition des agents mentionnés à l'article 5. Elle est présentée au comité mentionné à</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szCs w:val="19"/>
          <w:lang w:eastAsia="fr-FR"/>
        </w:rPr>
        <w:t>, en même temps que le rapport annuel du médecin du service de médecine préventive prévu aux</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strike/>
          <w:color w:val="000000"/>
          <w:sz w:val="19"/>
          <w:szCs w:val="19"/>
          <w:lang w:eastAsia="fr-FR"/>
        </w:rPr>
        <w:t>articles 26 et 45</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FF0000"/>
          <w:sz w:val="19"/>
          <w:szCs w:val="19"/>
          <w:lang w:eastAsia="fr-FR"/>
        </w:rPr>
        <w:t>articles 26 et 51</w:t>
      </w:r>
      <w:r w:rsidRPr="00A415EF">
        <w:rPr>
          <w:rFonts w:ascii="Calibri" w:eastAsia="Times New Roman" w:hAnsi="Calibri" w:cs="Times New Roman"/>
          <w:color w:val="000000"/>
          <w:sz w:val="19"/>
          <w:szCs w:val="19"/>
          <w:lang w:eastAsia="fr-FR"/>
        </w:rPr>
        <w: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lastRenderedPageBreak/>
        <w:t>Le comité mentionné à</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l'article 39</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l’article 37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est, en outre, régulièrement informé de l'évolution des risques professionnels entrant dans son champ de compétence.</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14-2.-</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médecin de prévention assiste de plein droit aux séances du comité mentionné à l'article 37 avec voix consultative.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15.-</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service de médecine préventive est associé aux actions de formation à l'hygiène et à la sécurité prévues au titre II ainsi qu'à la formation des secouristes mentionnés à l'article 13.</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16.-</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service de médecine préventive est consulté sur les projets de construction ou aménagements importants des bâtiments administratifs et techniques et de modifications apportées aux équipements ainsi que ceux liés aux nouvelles technologies. Il peut procéder à toute étude et soumettre des propositions.</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Il formule des propositions sur l'accessibilité des locaux aux agents handicapés.</w:t>
      </w: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17.-</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service de médecine préventive est obligatoirement informé, avant toute utilisation de substances ou produits dangereux, de la composition de ces produits et de la nature de ces substances, ainsi que de leurs modalités d'emploi.</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18.-</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service de médecine préventive peut demander à l'autorité territoriale de faire effectuer des prélèvements et des mesures aux fins d'analyses. Le refus de celle-ci doit être motivé. Le service de médecine préventive informe l'organisme compétent en matière d'hygiène et de sécurité, en application du titre IV du présent décret des résultats de toutes mesures et analyses.</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19.-</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service de médecine préventive participe aux études et enquêtes épidémiologiques.</w:t>
      </w: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19-1.-</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médecin du service de médecine préventive doit consacrer à sa mission en milieu de travail au moins le tiers du temps dont il dispose en application de l'article 11-1.</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20.-</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Les agents des collectivités et établissements mentionnés à l'article 1er bénéficient d'un examen médical périodique au minimum tous les deux ans. Dans cet intervalle, les agents qui le demandent bénéficient d'un examen médical supplémentaire.</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xml:space="preserve">Pour les fonctionnaires territoriaux nommés dans plusieurs emplois permanents à temps non </w:t>
      </w:r>
      <w:proofErr w:type="gramStart"/>
      <w:r w:rsidRPr="00A415EF">
        <w:rPr>
          <w:rFonts w:ascii="Calibri" w:eastAsia="Times New Roman" w:hAnsi="Calibri" w:cs="Times New Roman"/>
          <w:color w:val="000000"/>
          <w:sz w:val="19"/>
          <w:szCs w:val="19"/>
          <w:lang w:eastAsia="fr-FR"/>
        </w:rPr>
        <w:t>complet</w:t>
      </w:r>
      <w:proofErr w:type="gramEnd"/>
      <w:r w:rsidRPr="00A415EF">
        <w:rPr>
          <w:rFonts w:ascii="Calibri" w:eastAsia="Times New Roman" w:hAnsi="Calibri" w:cs="Times New Roman"/>
          <w:color w:val="000000"/>
          <w:sz w:val="19"/>
          <w:szCs w:val="19"/>
          <w:lang w:eastAsia="fr-FR"/>
        </w:rPr>
        <w:t>, cet examen médical se déroule dans la collectivité qui emploie le fonctionnaire pendant la quotité horaire hebdomadaire la plus longue.</w:t>
      </w:r>
    </w:p>
    <w:p w:rsidR="00A415EF" w:rsidRDefault="00A415EF" w:rsidP="00A415EF">
      <w:pPr>
        <w:shd w:val="clear" w:color="auto" w:fill="FFFFFF"/>
        <w:spacing w:after="0" w:line="264" w:lineRule="atLeast"/>
        <w:ind w:right="150"/>
        <w:jc w:val="both"/>
        <w:rPr>
          <w:rFonts w:ascii="Calibri" w:eastAsia="Times New Roman" w:hAnsi="Calibri" w:cs="Times New Roman"/>
          <w:i/>
          <w:iCs/>
          <w:color w:val="000000"/>
          <w:sz w:val="19"/>
          <w:szCs w:val="19"/>
          <w:lang w:eastAsia="fr-FR"/>
        </w:rPr>
      </w:pPr>
      <w:r w:rsidRPr="00A415EF">
        <w:rPr>
          <w:rFonts w:ascii="Calibri" w:eastAsia="Times New Roman" w:hAnsi="Calibri" w:cs="Times New Roman"/>
          <w:i/>
          <w:iCs/>
          <w:color w:val="000000"/>
          <w:sz w:val="19"/>
          <w:szCs w:val="19"/>
          <w:lang w:eastAsia="fr-FR"/>
        </w:rPr>
        <w:t>Section II : Surveillance médicale des agents</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21.-</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En sus de l'examen médical prévu à l'article 20 le médecin du service de médecine préventive exerce une surveillance médicale particulière à l'égard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des personnes reconnues travailleurs handicapés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des femmes enceintes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des agents réintégrés après un congé de longue maladie ou de longue durée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des agents occupant des postes dans des services comportant des risques spéciaux ;</w:t>
      </w:r>
    </w:p>
    <w:p w:rsidR="00A415EF" w:rsidRPr="00A415EF" w:rsidRDefault="00A415EF" w:rsidP="00923428">
      <w:pPr>
        <w:shd w:val="clear" w:color="auto" w:fill="FFFFFF"/>
        <w:spacing w:after="0" w:line="240" w:lineRule="auto"/>
        <w:ind w:right="147"/>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 des agents souffrant de pathologies particulières.</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Le médecin du service de médecine préventive définit la fréquence et la nature des visites médicales que comporte cette surveillance médicale. Ces visites présentent un caractère obligatoire.</w:t>
      </w: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22.-</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Les médecins du service de médecine préventive peuvent recommander des examens complémentaires. Dans le respect du secret médical, ils informent l'administration territoriale de tous risques d'épidémie.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23.-</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Des autorisations d'absence sont accordées par l'autorité territoriale pour permettre aux agents de subir les examens médicaux prévus aux articles 20, 21 et 22.</w:t>
      </w:r>
    </w:p>
    <w:p w:rsidR="00923428" w:rsidRDefault="00923428">
      <w:pPr>
        <w:rPr>
          <w:rFonts w:ascii="Calibri" w:eastAsia="Times New Roman" w:hAnsi="Calibri" w:cs="Times New Roman"/>
          <w:color w:val="000000"/>
          <w:sz w:val="19"/>
          <w:szCs w:val="19"/>
          <w:lang w:eastAsia="fr-FR"/>
        </w:rPr>
      </w:pPr>
      <w:r>
        <w:rPr>
          <w:rFonts w:ascii="Calibri" w:eastAsia="Times New Roman" w:hAnsi="Calibri" w:cs="Times New Roman"/>
          <w:color w:val="000000"/>
          <w:sz w:val="19"/>
          <w:szCs w:val="19"/>
          <w:lang w:eastAsia="fr-FR"/>
        </w:rPr>
        <w:br w:type="page"/>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24.-</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Les médecins du service de médecine préventive sont habilités à proposer des aménagements de poste de travail ou de conditions d'exercice des fonctions, justifiés par l'âge, la résistance physique ou l'état de santé des agents.</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Ils peuvent également proposer des aménagements temporaires de postes de travail ou de conditions d'exercice des fonctions au bénéfice des femmes enceintes.</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Lorsque l'autorité territoriale ne suit pas l'avis du service de médecine préventive, sa décision doit être motivée et le comité d'hygiène ou, à défaut, le comité technique paritaire doit en être tenu informé.</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En cas de contestation par les agents intéressés des propositions formulées par les médecins du service de médecine préventive, l'autorité territoriale peut saisir pour avis le médecin inspecteur régional du travail et de la main d'</w:t>
      </w:r>
      <w:proofErr w:type="spellStart"/>
      <w:r w:rsidRPr="00A415EF">
        <w:rPr>
          <w:rFonts w:ascii="Calibri" w:eastAsia="Times New Roman" w:hAnsi="Calibri" w:cs="Times New Roman"/>
          <w:color w:val="000000"/>
          <w:sz w:val="19"/>
          <w:szCs w:val="19"/>
          <w:lang w:eastAsia="fr-FR"/>
        </w:rPr>
        <w:t>oeuvre</w:t>
      </w:r>
      <w:proofErr w:type="spellEnd"/>
      <w:r w:rsidRPr="00A415EF">
        <w:rPr>
          <w:rFonts w:ascii="Calibri" w:eastAsia="Times New Roman" w:hAnsi="Calibri" w:cs="Times New Roman"/>
          <w:color w:val="000000"/>
          <w:sz w:val="19"/>
          <w:szCs w:val="19"/>
          <w:lang w:eastAsia="fr-FR"/>
        </w:rPr>
        <w:t xml:space="preserve"> territorialement compétent.</w:t>
      </w:r>
    </w:p>
    <w:p w:rsid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25.-</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service de médecine préventive est informé par l'autorité territoriale dans les plus brefs délais de chaque accident de service et de chaque maladie professionnelle ou à caractère professionnel.</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000000"/>
          <w:lang w:eastAsia="fr-FR"/>
        </w:rPr>
        <w:t>Art. 26.-</w:t>
      </w:r>
      <w:r w:rsidRPr="00A415EF">
        <w:rPr>
          <w:rFonts w:ascii="Calibri" w:eastAsia="Times New Roman" w:hAnsi="Calibri" w:cs="Times New Roman"/>
          <w:color w:val="000000"/>
          <w:sz w:val="19"/>
          <w:lang w:eastAsia="fr-FR"/>
        </w:rPr>
        <w:t> </w:t>
      </w:r>
      <w:r w:rsidRPr="00A415EF">
        <w:rPr>
          <w:rFonts w:ascii="Calibri" w:eastAsia="Times New Roman" w:hAnsi="Calibri" w:cs="Times New Roman"/>
          <w:color w:val="000000"/>
          <w:sz w:val="19"/>
          <w:szCs w:val="19"/>
          <w:lang w:eastAsia="fr-FR"/>
        </w:rPr>
        <w:t>Le service de médecine préventive établit chaque année un rapport d'activité qui est transmis à l'autorité territoriale et à l'organisme compétent en matière d'hygiène et de sécurité.</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Un exemplaire en est transmis au centre de gestion qui établit un rapport de synthèse de l'ensemble des rapports d'activité qu'il a reçus et le transmet au Conseil supérieur de la fonction publique territoriale.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26-1.-</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Un dossier médical en santé au travail est constitué par le médecin de prévention dans les conditions prévues à l'article L. 4624-2 du code du travail. Lors du premier examen médical, le médecin de prévention retrace dans le respect des dispositions prévues aux articles L. 1110-4 et L. 1111-7 du code de la santé publique les informations relatives à l'état de santé de l'agent ainsi que les avis des différentes instances médicales formulés en application de l'article 81 de la loi du 26 janvier 1984 susvisée et de l'article 3 de la loi n° 2000-628 du 7 juillet 2000 relative à la prolongation du mandat et à la date de renouvellement des conseils d'administration des services d'incendie et de secours ainsi qu'au reclassement et à la cessation anticipée d'activité des sapeurs-pompiers professionnels.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 modèle du dossier médical, la durée et les conditions de sa conservation sont fixés par l'arrêté mentionné à l'article 28-2 du décret n° 82-453 du 28 mai 1982 relatif à l'hygiène et à la sécurité du travail ainsi qu'à la prévention médicale dans la fonction publique.</w:t>
      </w:r>
    </w:p>
    <w:p w:rsidR="00A415EF" w:rsidRDefault="00A415EF">
      <w:pPr>
        <w:rPr>
          <w:rFonts w:ascii="Calibri" w:eastAsia="Times New Roman" w:hAnsi="Calibri" w:cs="Times New Roman"/>
          <w:b/>
          <w:bCs/>
          <w:strike/>
          <w:color w:val="000000"/>
          <w:lang w:eastAsia="fr-FR"/>
        </w:rPr>
      </w:pPr>
    </w:p>
    <w:p w:rsidR="00A415EF" w:rsidRP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TITRE IV</w:t>
      </w:r>
      <w:r w:rsidRPr="00A415EF">
        <w:rPr>
          <w:rFonts w:ascii="Calibri" w:eastAsia="Times New Roman" w:hAnsi="Calibri" w:cs="Times New Roman"/>
          <w:b/>
          <w:bCs/>
          <w:strike/>
          <w:color w:val="000000"/>
          <w:lang w:eastAsia="fr-FR"/>
        </w:rPr>
        <w:br/>
        <w:t>Organismes compétents en matière d'hygiène et de sécurité</w:t>
      </w:r>
    </w:p>
    <w:p w:rsidR="00A415EF" w:rsidRP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CHAPITRE 1er : Rôle des comités techniques paritaires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27.-</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Les comités techniques paritaires exercent les attributions mentionnées au 5° de l'article 33 de la loi du 26 janvier 1984 précitée dans les conditions fixées au présent titre.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28.-</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Lorsqu'ils ne sont pas assistés de comités d'hygiène et de sécurité, les comités techniques paritaires exercent les compétences fixées au chapitre 6 du présent titre.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Dans ce cas, un représentant du service de médecine préventive et l'un des agents chargés en application de l'article 5 du présent décret d'une fonction d'inspection, peuvent assister, avec voix consultative, aux réunions du comité technique paritaire qui sont consacrées aux problèmes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Lorsqu'ils sont assistés de comités d'hygiène et de sécurité, les comités techniques paritaires reçoivent communication des documents élaborés par ceux-ci et examinent les questions d'hygiène et de sécurité dont ils se saisissent ou sont saisis par lesdits comités.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Ils reçoivent également communication du rapport annuel sur l'évolution des risques professionnels et du programme annuel de prévention des risques professionnels prévus respectivement aux articles 40 et 45 accompagnés de l'avis formulé par les comités d'hygiène et de sécurité.</w:t>
      </w:r>
    </w:p>
    <w:p w:rsidR="00A415EF" w:rsidRP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CHAPITRE II : Organisation des comités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29.-</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Sont tenus de créer un ou plusieurs comités d'hygiène et de sécurité, outre les services départementaux d'incendie et de secours sans condition d'effectifs, les collectivités ou établissements mentionnés à l'article 1er, occupant un effectif d'au moins 200 agents titulaires ou non, à temps complet ou non complet, dans un ou plusieurs services comportant des risques professionnels spécifiques par leur fréquence et leur gravité, notamment en raison de la nature des missions ou des tâches, de l'agencement ou de l'équipement des locaux.</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xml:space="preserve">L'organe délibérant de la collectivité ou de l'établissement sous la responsabilité duquel fonctionnent lesdits services détermine, après avis du comité technique paritaire, le nombre, le siège et la compétence des comités d'hygiène et de </w:t>
      </w:r>
      <w:r w:rsidRPr="00A415EF">
        <w:rPr>
          <w:rFonts w:ascii="Calibri" w:eastAsia="Times New Roman" w:hAnsi="Calibri" w:cs="Times New Roman"/>
          <w:strike/>
          <w:color w:val="000000"/>
          <w:sz w:val="19"/>
          <w:szCs w:val="19"/>
          <w:lang w:eastAsia="fr-FR"/>
        </w:rPr>
        <w:lastRenderedPageBreak/>
        <w:t>sécurité, et peut décider le cas échéant la division d'un comité d'hygiène et de sécurité en sections correspondant à des spécificités différentes au sein des services.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Les dépenses de fonctionnement du comité sont à la charge de la collectivité ou de l'établissement public.</w:t>
      </w:r>
    </w:p>
    <w:p w:rsidR="00A415EF" w:rsidRP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CHAPITRE III : Composition des comités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30.-</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est composé en nombre égal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a) D'une part de représentants de la collectivité ou de l'établissement désigné par l'autorité territoriale auprès de laquelle fonctionne le comité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b) D'autre part de représentants du personnel élus au suffrage direct sur les listes présentées par les organisations syndicales.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 nombre des membres du comité d'hygiène et de sécurité est fixé, pour la durée du mandat des représentants du personnel par l'organe délibérant de la collectivité ou de l'établissement auprès duquel il est appelé à fonctionner.</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Toutefois le nombre des membres titulaires de chaque catégorie de représentants ne saurait être inférieur à trois ni supérieur à dix. Il est tenu compte, pour fixer ce nombre, de l'effectif des agents titulaires et non titulaires des collectivités, établissements ou services concernés et de la nature des risques professionnels.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Chacun des membres du comité d'hygiène et de sécurité a un suppléant. Les représentants de la collectivité peuvent se suppléer l'un l'autre. Des représentants du personnel suppléants peuvent suppléer les titulaires élus sur la même liste.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 médecin du service de médecine préventive assiste de plein droit aux séances du comité avec voix consultative.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31.-</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Les membres des comités d'hygiène et de sécurité sont désignés pour une période de six ans dans les mêmes conditions que celles qui sont fixées à l'article 3 du décret n°85-565 du 30 mai 1985 relatif aux comités techniques paritaires de la fonction publique territoriale.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Les collectivités et établissements peuvent procéder à tout moment et pour le reste du mandat à accomplir au remplacement de leurs représentants.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Les fonctions de membre du comité sont renouvelables.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Toutefois, si, dans un comité d'hygiène et de sécurité déjà institué auprès d'une commune ou d'un établissement public intercommunal, le premier mandat des représentants du personnel venait à expiration dans les six mois précédant le renouvellement de l'organe délibérant de la collectivité ou de l'établissement auprès desquels fonctionne le comité d'hygiène et de sécurité, ce mandat, nonobstant les dispositions de l'article 31, se trouverait prorogé jusqu'au renouvellement de ladite assemblée.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32.-</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L'autorité territoriale désigne ses représentants parmi les membres de l'organe délibérant de la collectivité ou de l'établissement, ou parmi les agents de cette collectivité ou de cet établissement.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33.-</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Les dispositions des articles 5 et 6 du décret n°85-565 du 30 mai 1985 relatif aux comités techniques paritaires sont applicables au remplacement des membres du comité d'hygiène et de sécurité.</w:t>
      </w:r>
    </w:p>
    <w:p w:rsidR="00A415EF" w:rsidRP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CHAPITRE IV : Election des représentants du personnel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34.-</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L'élection des représentants du personnel aux comités d'hygiène et de sécurité s'effectue selon les dispositions prévues aux articles 7 et suivants du décret n°85- 565 du 30 mai 1985.</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35.-</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Sont électeurs, dans les conditions prévues à l'article 8 du décret n°85-565 du 30 mai 1985, les agents titulaires et non titulaires, à temps complet et à temps non complet, en fonctions dans le ou les services auprès desquels est institué le comité d'hygiène et de sécurité.</w:t>
      </w:r>
    </w:p>
    <w:p w:rsidR="00A415EF" w:rsidRP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CHAPITRE V : Fonctionnement des comités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36.-</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est présidé par un représentant de la collectivité ou de l'établissement désigné par l'autorité territoriale parmi ses représentants au comité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37.-</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Les règles de fonctionnement prévues par le décret n°85-565 du 30 mai 1985 relatif aux comités techniques paritaires sont applicables au comité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38.-</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d'hygiène et de sécurité peut entendre les agents chargés d'une fonction d'inspection en application de l'article 5.</w:t>
      </w:r>
    </w:p>
    <w:p w:rsidR="00A415EF" w:rsidRPr="00A415EF" w:rsidRDefault="00A415EF" w:rsidP="00A415EF">
      <w:pPr>
        <w:shd w:val="clear" w:color="auto" w:fill="FFFFFF"/>
        <w:spacing w:after="0" w:line="264" w:lineRule="atLeast"/>
        <w:jc w:val="center"/>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CHAPITRE VI : Rôle des organismes compétents en matière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39.-</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Les dispositions du présent chapitre concernent le comité d'hygiène et de sécurité ou le comité technique paritaire lorsqu'il n'est pas assisté par un comité d'hygiène et de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40.-</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a pour mission de contribuer à la protection de la santé et de la sécurité des agents dans leur travail. Il a notamment à connaître des questions relatives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à l'observation des prescriptions législatives et réglementaires en matière d'hygiène et de sécurité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aux méthodes et techniques de travail et au choix des équipements de travail dès lors qu'ils sont susceptibles d'avoir une influence directe sur la santé des agents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aux projets d'aménagements, de construction et d'entretien des bâtiments au regard des règles d'hygiène et de sécurité, et de bien- être au travail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lastRenderedPageBreak/>
        <w:t>- aux mesures prises en vue de faciliter l'adaptation des postes de travail aux personnes reconnues travailleurs handicapés et aux mesures prises, en application du décret n°85- 1054 du 30 septembre 1985 relatif au reclassement des fonctionnaires territoriaux reconnus inaptes à l'exercice de leurs fonctions, afin de permettre le reclassement de ces fonctionnaires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aux mesures d'aménagement des postes de travail permettant de favoriser l'accès des femmes à tous les emplois ou nécessaires aux femmes enceintes.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 comité procède en outre à l'analyse des risques professionnels auxquels sont exposés les agents du ou des services entrant dans son champ de compétence. A cette fin, il délibère chaque année d'un rapport sur l'évolution des risques professionnels, présenté par le président.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Un exemplaire de ce rapport est transmis au centre de gestion.</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Chaque centre établit sur la base de ces documents un rapport de synthèse bisannuel qu'il transmet au Conseil supérieur de la fonction publique territoriale en annexe au rapport pris pour l'application de l'article 33 de la loi du 26 janvier 1984 précitée.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40-1.-</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Les membres du comité bénéficient d'un droit d'accès aux locaux relevant de leur aire de compétence géographique dans le cadre des missions qui leur sont confiées par ce dernier. Celui-ci fixe l'étendue ainsi que la composition de la délégation. Toutes facilités doivent être accordées à cette dernière pour l'exercice de ce droit sous réserve du bon fonctionnement du service.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La délégation doit comporter des représentants de la collectivité territoriale visés au a de l'article 30 et des représentants du personnel visés au b du même article. Elle peut, le cas échéant, être assistée d'un médecin du service de médecine préventive et de l'agent visé à l'article 5.</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Les missions accomplies en application du présent article doivent donner lieu à un rapport présenté au comité.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41.-</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procède à une enquête à l'occasion de chaque accident de service ou de chaque maladie professionnelle ou à caractère professionnel au sens des 3° et 4° de l'article 6 du présent décret.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Chaque enquête est conduite par deux membres du comité, l'un représentant l'autorité compétente, l'autre représentant le personnel. Ils peuvent être assistés par d'autres membres du comité et par les médecins de médecine professionnelle et préventive.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 comité est informé des conclusions de chaque enquête et des suites qui leur sont données.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41-1.-</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peut demander à l'autorité territoriale de faire appel à un expert agréé dans les conditions de l'article R. 236-40 du code du travail en cas de risque grave, révélé ou non par un accident de service, ou de maladie à caractère professionnel. Les frais d'expertise sont supportés par la collectivité territoriale ou l'établissement dont relève l'organisme compétent. L'autorité territoriale fournit à l'expert les informations nécessaires à sa mission. Ce dernier est soumis à l'obligation de discrétion. La décision de l'autorité territoriale refusant la désignation d'un expert sollicitée par le comité doit être motivée.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42.-</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suggère toutes mesures de nature à améliorer l'hygiène et la sécurité du travail et à assurer l'instruction et le perfectionnement des agents dans les domaines de l'hygiène et de la sécurité.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 xml:space="preserve">Il coopère à la préparation des actions de formation à l'hygiène et à la sécurité et veille à leur mise en </w:t>
      </w:r>
      <w:proofErr w:type="spellStart"/>
      <w:r w:rsidRPr="00A415EF">
        <w:rPr>
          <w:rFonts w:ascii="Calibri" w:eastAsia="Times New Roman" w:hAnsi="Calibri" w:cs="Times New Roman"/>
          <w:strike/>
          <w:color w:val="000000"/>
          <w:sz w:val="19"/>
          <w:szCs w:val="19"/>
          <w:lang w:eastAsia="fr-FR"/>
        </w:rPr>
        <w:t>oeuvre</w:t>
      </w:r>
      <w:proofErr w:type="spellEnd"/>
      <w:r w:rsidRPr="00A415EF">
        <w:rPr>
          <w:rFonts w:ascii="Calibri" w:eastAsia="Times New Roman" w:hAnsi="Calibri" w:cs="Times New Roman"/>
          <w:strike/>
          <w:color w:val="000000"/>
          <w:sz w:val="19"/>
          <w:szCs w:val="19"/>
          <w:lang w:eastAsia="fr-FR"/>
        </w:rPr>
        <w: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43.-</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est consulté sur les règlements et consignes que l'autorité compétente envisage d'adopter en matière d'hygiène et de sécurité, et sur tout autre document émanant de la même autorité.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Ces documents sont également communiqués pour avis aux responsables des fonctions d'inspection en matière d'hygiène et de sécurité désignés en application de l'article 5 ci-dessus.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Le comité prend en outre connaissance des observations et suggestions relatives à la prévention des risques professionnels et à l'amélioration des conditions de travail consignées sur le registre d'hygiène et de sécurité, qui doit être mis dans chaque service à la disposition des agents et, le cas échéant, des usagers.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44.-</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Chaque année, le président soumet au comité, pour avis, un programme annuel de prévention des risques professionnels.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strike/>
          <w:color w:val="000000"/>
          <w:sz w:val="19"/>
          <w:szCs w:val="19"/>
          <w:lang w:eastAsia="fr-FR"/>
        </w:rPr>
        <w:t>Ce programme est établi à partir de l'analyse prévue à l'article 40. Il fixe la liste détaillée des réalisations ou actions qu'il lui paraît souhaitable d'entreprendre au cours de l'année à venir.</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45.-</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examine le rapport annuel établi par le service de médecine préventive en vertu de l'article 26.</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46.-</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comité est informé de toutes les observations faites par les responsables de la fonction d'inspection en matière d'hygiène et de sécurité prévus à l'article 5 ci- dessus.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strike/>
          <w:color w:val="000000"/>
          <w:lang w:eastAsia="fr-FR"/>
        </w:rPr>
        <w:t>Art. 47.-</w:t>
      </w:r>
      <w:r w:rsidRPr="00A415EF">
        <w:rPr>
          <w:rFonts w:ascii="Calibri" w:eastAsia="Times New Roman" w:hAnsi="Calibri" w:cs="Times New Roman"/>
          <w:strike/>
          <w:color w:val="000000"/>
          <w:sz w:val="19"/>
          <w:lang w:eastAsia="fr-FR"/>
        </w:rPr>
        <w:t> </w:t>
      </w:r>
      <w:r w:rsidRPr="00A415EF">
        <w:rPr>
          <w:rFonts w:ascii="Calibri" w:eastAsia="Times New Roman" w:hAnsi="Calibri" w:cs="Times New Roman"/>
          <w:strike/>
          <w:color w:val="000000"/>
          <w:sz w:val="19"/>
          <w:szCs w:val="19"/>
          <w:lang w:eastAsia="fr-FR"/>
        </w:rPr>
        <w:t>Le ministre de l'économie, des finances et du budget, le ministre de l'intérieur et de la décentralisation, le ministre du travail, de l'emploi et de la formation professionnelle et le secrétaire d'Etat auprès du ministre de l'économie, des finances et du budget, chargé du budget et de la consommation, sont chargés, chacun en ce qui le concerne, de l'exécution du présent décret, qui sera publié au Journal officiel de la République française.</w:t>
      </w:r>
    </w:p>
    <w:p w:rsidR="00923428" w:rsidRDefault="00923428">
      <w:pPr>
        <w:rPr>
          <w:rFonts w:ascii="Calibri" w:eastAsia="Times New Roman" w:hAnsi="Calibri" w:cs="Times New Roman"/>
          <w:b/>
          <w:bCs/>
          <w:color w:val="FF0000"/>
          <w:lang w:eastAsia="fr-FR"/>
        </w:rPr>
      </w:pPr>
      <w:r>
        <w:rPr>
          <w:rFonts w:ascii="Calibri" w:eastAsia="Times New Roman" w:hAnsi="Calibri" w:cs="Times New Roman"/>
          <w:b/>
          <w:bCs/>
          <w:color w:val="FF0000"/>
          <w:lang w:eastAsia="fr-FR"/>
        </w:rPr>
        <w:br w:type="page"/>
      </w:r>
    </w:p>
    <w:p w:rsidR="00A415EF" w:rsidRDefault="00A415EF">
      <w:pPr>
        <w:rPr>
          <w:rFonts w:ascii="Calibri" w:eastAsia="Times New Roman" w:hAnsi="Calibri" w:cs="Times New Roman"/>
          <w:b/>
          <w:bCs/>
          <w:color w:val="FF0000"/>
          <w:lang w:eastAsia="fr-FR"/>
        </w:rPr>
      </w:pPr>
    </w:p>
    <w:p w:rsidR="00923428" w:rsidRDefault="00A415EF" w:rsidP="00A415EF">
      <w:pPr>
        <w:shd w:val="clear" w:color="auto" w:fill="FFFFFF"/>
        <w:spacing w:after="0" w:line="264" w:lineRule="atLeast"/>
        <w:jc w:val="center"/>
        <w:rPr>
          <w:rFonts w:ascii="Calibri" w:eastAsia="Times New Roman" w:hAnsi="Calibri" w:cs="Times New Roman"/>
          <w:b/>
          <w:bCs/>
          <w:color w:val="FF0000"/>
          <w:lang w:eastAsia="fr-FR"/>
        </w:rPr>
      </w:pPr>
      <w:r w:rsidRPr="00A415EF">
        <w:rPr>
          <w:rFonts w:ascii="Calibri" w:eastAsia="Times New Roman" w:hAnsi="Calibri" w:cs="Times New Roman"/>
          <w:b/>
          <w:bCs/>
          <w:color w:val="FF0000"/>
          <w:lang w:eastAsia="fr-FR"/>
        </w:rPr>
        <w:t>TITRE IV</w:t>
      </w:r>
    </w:p>
    <w:p w:rsidR="00A415EF" w:rsidRDefault="00A415EF" w:rsidP="00A415EF">
      <w:pPr>
        <w:shd w:val="clear" w:color="auto" w:fill="FFFFFF"/>
        <w:spacing w:after="0" w:line="264" w:lineRule="atLeast"/>
        <w:jc w:val="center"/>
        <w:rPr>
          <w:rFonts w:ascii="Calibri" w:eastAsia="Times New Roman" w:hAnsi="Calibri" w:cs="Times New Roman"/>
          <w:b/>
          <w:bCs/>
          <w:color w:val="FF0000"/>
          <w:lang w:eastAsia="fr-FR"/>
        </w:rPr>
      </w:pPr>
      <w:r w:rsidRPr="00A415EF">
        <w:rPr>
          <w:rFonts w:ascii="Calibri" w:eastAsia="Times New Roman" w:hAnsi="Calibri" w:cs="Times New Roman"/>
          <w:b/>
          <w:bCs/>
          <w:color w:val="FF0000"/>
          <w:lang w:eastAsia="fr-FR"/>
        </w:rPr>
        <w:t>Organismes compétents en matière d'hygiène, de sécurité et des conditions de travail</w:t>
      </w:r>
    </w:p>
    <w:p w:rsidR="00923428" w:rsidRPr="00A415EF" w:rsidRDefault="00923428"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jc w:val="center"/>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CHAPITRE 1er : Organisation des comités d’hygiène, de sécurité et des conditions de travail</w:t>
      </w:r>
    </w:p>
    <w:p w:rsidR="00923428" w:rsidRPr="00A415EF" w:rsidRDefault="00923428"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27.-</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Sont tenus de créer un ou plusieurs comités d'hygiène, de sécurité et des conditions de travail, outre les services départementaux d'incendie et de secours sans condition d'effectifs, les collectivités ou établissements mentionnés à l'article 1er, dans les mêmes conditions que celles prévues pour les comités techniques par les premier à quatrième alinéas de l'article 32 de la loi du 26 janvier 1984 susvisée. Dans les collectivités territoriales et les établissements publics de moins de cinquante agents, les missions du comité d'hygiène, de sécurité et des conditions de travail sont exercées par le comité technique dont relèvent ces collectivités et établissements.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Si l'importance des effectifs et la nature des risques professionnels, appréciés en fonction notamment des missions confiées aux agents, de l'agencement et de l'équipement des locaux, le justifient, des comités d'hygiène, de sécurité et des conditions de travail locaux ou spéciaux sont créés par décision de l'organe délibérant de la collectivité ou de l'établissement. Ils peuvent également être créés si l'une de ces deux conditions est réalisée.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L'organe délibérant de la collectivité ou de l'établissement détermine, après avis du comité technique, le nombre, le siège et la compétence, des comités d'hygiène, de sécurité et des conditions de travail. Il peut décider, le cas échéant, la division d'un comité en sections correspondant à des spécificités différentes au sein des services.</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Les dépenses de fonctionnement du comité sont à la charge de la collectivité ou de l'établissement public.</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jc w:val="center"/>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CHAPITRE II : Composition des comités d'hygiène, de sécurité et des conditions de travail</w:t>
      </w:r>
    </w:p>
    <w:p w:rsidR="00923428" w:rsidRPr="00A415EF" w:rsidRDefault="00923428"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28.-</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d'hygiène, de sécurité et des conditions de travail comprend des représentants de la collectivité territoriale ou de l'établissement public désignés par l'autorité territoriale auprès de laquelle il est placé et des représentants désignés par les organisations syndicales. Le nombre de représentants de la collectivité ou de l'établissement ne peut excéder le nombre de représentants désignés par les organisations syndicales.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L'organe délibérant de la collectivité ou de l'établissement auprès duquel est placé le comité d'hygiène, de sécurité et des conditions de travail fixe le nombre de représentants de la collectivité ou de l'établissement et le nombre de représentants du personnel.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Toutefois le nombre des membres titulaires des représentants du personnel ne saurait être inférieur à trois ni supérieur à cinq dans les collectivités ou établissements employant au moins cinquante agents et moins de deux cents agents.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 nombre des membres titulaires des représentants du personnel ne saurait être inférieur à trois ni supérieur à dix dans les collectivités ou établissements employant au moins deux cents agents.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Il est tenu compte, pour fixer ce nombre, de l'effectif des agents titulaires et non titulaires des collectivités, établissements ou services concernés, et de la nature des risques professionnels.</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Cette délibération est immédiatement communiquée aux organisations syndicales représentées au comité technique ou, à défaut, aux syndicats ou sections syndicales qui ont fourni à l'autorité territoriale les informations prévues à l'article 1er du décret n° 85-397 du 3 avril 1985 relatif à l'exercice du droit syndical dans la fonction publique territoriale.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29.-</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Chacun des membres du comité d'hygiène, de sécurité et des conditions de travail a un suppléant. Les représentants de la collectivité peuvent se suppléer l'un l'autre. Les représentants du personnel suppléants peuvent suppléer les titulaires appartenant à la même organisation syndicale.</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Lors de chaque réunion du comité, le président est assisté en tant que de besoin par un ou plusieurs agents de la collectivité ou de l'établissement concernés par les questions sur lesquelles le comité est consulté. Ces derniers ne sont pas membres du comité d'hygiène, de sécurité et des conditions de travail.</w:t>
      </w:r>
    </w:p>
    <w:p w:rsidR="00923428" w:rsidRDefault="00923428">
      <w:pPr>
        <w:rPr>
          <w:rFonts w:ascii="Calibri" w:eastAsia="Times New Roman" w:hAnsi="Calibri" w:cs="Times New Roman"/>
          <w:color w:val="FF0000"/>
          <w:sz w:val="19"/>
          <w:szCs w:val="19"/>
          <w:lang w:eastAsia="fr-FR"/>
        </w:rPr>
      </w:pPr>
      <w:r>
        <w:rPr>
          <w:rFonts w:ascii="Calibri" w:eastAsia="Times New Roman" w:hAnsi="Calibri" w:cs="Times New Roman"/>
          <w:color w:val="FF0000"/>
          <w:sz w:val="19"/>
          <w:szCs w:val="19"/>
          <w:lang w:eastAsia="fr-FR"/>
        </w:rPr>
        <w:br w:type="page"/>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30.-</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La durée du mandat des représentants du personnel est fixée à quatre ans.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Ce mandat se trouve réduit ou prorogé pour expirer à la désignation du nouveau comité d'hygiène, de sécurité et des conditions de travail qui doit intervenir dans les conditions mentionnées à l'article 32.</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Toutefois, lorsqu'un comité est créé ou renouvelé en cours de cycle électoral, les représentants du personnel sont désignés dans les conditions fixées au présent décret pour la durée du mandat restant à courir avant le renouvellement général.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collectivités et établissements peuvent procéder à tout moment et pour le reste du mandat à accomplir au remplacement de leurs représentants.</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 mandat est renouvelable.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jc w:val="center"/>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CHAPITRE III : Mode de désignation des membres des comités d'hygiène, de sécurité et des conditions de travail</w:t>
      </w:r>
    </w:p>
    <w:p w:rsidR="00923428" w:rsidRPr="00A415EF" w:rsidRDefault="00923428"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31.- </w:t>
      </w:r>
      <w:r w:rsidRPr="00A415EF">
        <w:rPr>
          <w:rFonts w:ascii="Calibri" w:eastAsia="Times New Roman" w:hAnsi="Calibri" w:cs="Times New Roman"/>
          <w:color w:val="FF0000"/>
          <w:sz w:val="19"/>
          <w:szCs w:val="19"/>
          <w:lang w:eastAsia="fr-FR"/>
        </w:rPr>
        <w:t>L'autorité territoriale désigne les représentants de la collectivité ou de l'établissement parmi les membres de l'organe délibérant, ou parmi les agents de cette collectivité ou de cet établissement.</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Elle désigne également un agent chargé du secrétariat administratif du comité, qui assiste aux réunions sans participer aux débats.</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32.-</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Les représentants du personnel au sein des comités d'hygiène, de sécurité et des conditions de travail sont désignés librement, par les organisations syndicales de fonctionnaires remplissant les conditions exigées par l'article 9 bis de la loi du 13 juillet 1983 susvisée.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A cet effet, l'autorité territoriale auprès de laquelle le comité est constitué établit la liste des organisations syndicales habilitées à désigner des représentants du personnel ainsi que le nombre de sièges auxquelles elles ont droit, proportionnellement au nombre de voix obtenues lors de l'élection des représentants du personnel dans les comités techniques. En cas de listes communes à plusieurs organisations syndicales lors des élections aux comités techniques, les suffrages sont répartis entre les organisations syndicales conformément au III de l'article 21 du décret du 30 mai 1985 susvisé.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L'autorité territoriale fixe également le délai imparti pour la désignation des représentants du personnel.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représentants du personnel doivent satisfaire aux conditions d'éligibilité au comité technique.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opérations de désignation des représentants du personnel doivent être achevées dans le délai d'un mois suivant la date des élections des représentants du personnel au comité technique.</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Pour les comités créés par délibérations concordantes dans les conditions prévues aux articles 32 et 33-1 de la loi du 26 janvier 1984 susvisée, les représentants du personnel sont désignés sur la base des résultats des élections au comité technique de même niveau.</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33.-</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 xml:space="preserve">Lorsqu'il n'existe pas de comité technique au niveau où </w:t>
      </w:r>
      <w:proofErr w:type="gramStart"/>
      <w:r w:rsidRPr="00A415EF">
        <w:rPr>
          <w:rFonts w:ascii="Calibri" w:eastAsia="Times New Roman" w:hAnsi="Calibri" w:cs="Times New Roman"/>
          <w:color w:val="FF0000"/>
          <w:sz w:val="19"/>
          <w:szCs w:val="19"/>
          <w:lang w:eastAsia="fr-FR"/>
        </w:rPr>
        <w:t>est</w:t>
      </w:r>
      <w:proofErr w:type="gramEnd"/>
      <w:r w:rsidRPr="00A415EF">
        <w:rPr>
          <w:rFonts w:ascii="Calibri" w:eastAsia="Times New Roman" w:hAnsi="Calibri" w:cs="Times New Roman"/>
          <w:color w:val="FF0000"/>
          <w:sz w:val="19"/>
          <w:szCs w:val="19"/>
          <w:lang w:eastAsia="fr-FR"/>
        </w:rPr>
        <w:t xml:space="preserve"> créé un comité d'hygiène, de sécurité et des conditions de travail local ou spécial, les représentants du personnel sont désignés selon les modalités prévues à l'article 15-1 du décret du 30 mai 1985 susvisé.</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Toutefois, dans le même cas, lorsqu'un comité d'hygiène, de sécurité et des conditions de travail local ou spécial est créé en dehors du renouvellement général des comités techniques, les représentants du personnel sont désignés sur la base de la représentativité syndicale constatée dans le périmètre de ce comité d'hygiène, de sécurité et des conditions de travail, dans les conditions prévues par le décret du 30 mai 1985 susvisé, par un scrutin qui ne peut intervenir dans les six mois qui suivent le renouvellement général, ni plus de trois ans après celui-ci.</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34.-</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Il est obligatoirement mis fin au mandat des membres du comité d'hygiène, de sécurité et des conditions de travail dans les cas prévus à l'article 5 du décret du 30 mai 1985 susvisé.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dispositions du premier alinéa de l'article 6 du décret du 30 mai 1985 susvisé sont applicables au remplacement des représentants de la collectivité territoriale ou de l'établissement public.</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En cas de vacance du siège d'un représentant titulaire du personnel, il est remplacé par le représentant suppléant appartenant à la même organisation syndicale, pour la durée du mandat restant à courir.</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En cas de vacance du siège d'un représentant suppléant du personnel, son remplaçant est désigné dans les conditions mentionnées à l'article 32, pour la durée du mandat restant à courir.</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923428"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35.-</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La liste nominative des représentants du personnel au comité d'hygiène, de sécurité et des conditions de travail, ainsi que l'indication de leur lieu habituel de travail est portée à la connaissance des agents.</w:t>
      </w:r>
    </w:p>
    <w:p w:rsidR="00923428" w:rsidRDefault="00923428">
      <w:pPr>
        <w:rPr>
          <w:rFonts w:ascii="Calibri" w:eastAsia="Times New Roman" w:hAnsi="Calibri" w:cs="Times New Roman"/>
          <w:color w:val="FF0000"/>
          <w:sz w:val="19"/>
          <w:szCs w:val="19"/>
          <w:lang w:eastAsia="fr-FR"/>
        </w:rPr>
      </w:pPr>
      <w:r>
        <w:rPr>
          <w:rFonts w:ascii="Calibri" w:eastAsia="Times New Roman" w:hAnsi="Calibri" w:cs="Times New Roman"/>
          <w:color w:val="FF0000"/>
          <w:sz w:val="19"/>
          <w:szCs w:val="19"/>
          <w:lang w:eastAsia="fr-FR"/>
        </w:rPr>
        <w:br w:type="page"/>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jc w:val="center"/>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CHAPITRE IV : Rôle des comités techniques</w:t>
      </w:r>
    </w:p>
    <w:p w:rsidR="00923428" w:rsidRPr="00A415EF" w:rsidRDefault="00923428"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36.-</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technique est consulté pour avis sur les sujets d'ordre général intéressant l'hygiène, la sécurité et les conditions de travail.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 comité technique bénéficie du concours du comité d'hygiène, de sécurité et des conditions de travail dans les matières relevant de sa compétence et peut le saisir de toute question. Il examine en outre les questions dont il est saisi par le comité d'hygiène, de sécurité et des conditions de travail créé auprès de lui.</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 comité technique reçoit communication du rapport annuel et du programme annuel de prévention des risques professionnels prévus à l'article 49 accompagnés de l'avis formulé par le comité d'hygiène, de sécurité et des conditions de travail.</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jc w:val="center"/>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CHAPITRE V : Rôle et attributions des comités d'hygiène, de sécurité et des conditions de travail</w:t>
      </w:r>
    </w:p>
    <w:p w:rsidR="00923428" w:rsidRPr="00A415EF" w:rsidRDefault="00923428"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37.-</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Les dispositions du présent chapitre concernent le comité d'hygiène, de sécurité et des conditions de travail ou le comité technique lorsqu'il exerce les missions du comité d'hygiène, de sécurité et des conditions de travail.</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38.-</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Conformément à l'article 33-1 de la loi du 26 janvier 1984 susvisée, et sous réserve des compétences des comités techniques mentionnés à l'article 36 du présent décret, le comité a pour mission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De contribuer à la protection de la santé physique et mentale et de la sécurité des agents et du personnel mis à la disposition de l'autorité territoriale et placé sous sa responsabilité par une entreprise extérieure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2° De contribuer à l'amélioration des conditions de travail, notamment en vue de faciliter l'accès des femmes à tous les emplois et de répondre aux problèmes liés à la maternité ;</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3° De veiller à l'observation des prescriptions légales prises en ces matières.</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39.-</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procède à l'analyse des risques professionnels dans les conditions définies par l'article L. 4612-2 du code du travail.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 comité contribue en outre à la promotion de la prévention des risques professionnels et suscite toute initiative qu'il estime utile dans cette perspective conformément à l'article L. 4612-3 du code du travail. Il peut proposer notamment des actions de prévention du harcèlement moral et du harcèlement sexuel.</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 xml:space="preserve">Le comité suggère toutes mesures de nature à améliorer l'hygiène et la sécurité du travail, à assurer l'instruction et le perfectionnement des agents dans les domaines de l'hygiène et de la sécurité. Il coopère à la préparation des actions de formation à l'hygiène et à la sécurité et veille à leur mise en </w:t>
      </w:r>
      <w:proofErr w:type="spellStart"/>
      <w:r w:rsidRPr="00A415EF">
        <w:rPr>
          <w:rFonts w:ascii="Calibri" w:eastAsia="Times New Roman" w:hAnsi="Calibri" w:cs="Times New Roman"/>
          <w:color w:val="FF0000"/>
          <w:sz w:val="19"/>
          <w:szCs w:val="19"/>
          <w:lang w:eastAsia="fr-FR"/>
        </w:rPr>
        <w:t>oeuvre</w:t>
      </w:r>
      <w:proofErr w:type="spellEnd"/>
      <w:r w:rsidRPr="00A415EF">
        <w:rPr>
          <w:rFonts w:ascii="Calibri" w:eastAsia="Times New Roman" w:hAnsi="Calibri" w:cs="Times New Roman"/>
          <w:color w:val="FF0000"/>
          <w:sz w:val="19"/>
          <w:szCs w:val="19"/>
          <w:lang w:eastAsia="fr-FR"/>
        </w:rPr>
        <w:t>.</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40.-</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Les membres du comité procèdent à intervalles réguliers à la visite des services relevant de leur champ de compétence. Ils bénéficient pour ce faire d'un droit d'accès aux locaux relevant de leur aire de compétence géographique dans le cadre des missions qui leur sont confiées par ce dernier. Celui-ci fixe l'étendue ainsi que la composition de la délégation chargée de la visite. Toutes facilités doivent être accordées à cette dernière pour l'exercice de ce droit sous réserve du bon fonctionnement du service.</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La délégation comprend au moins un représentant de la collectivité territoriale ou de l'établissement public et au moins un représentant du personnel. Elle peut être assistée d'un médecin du service de médecine préventive, de l'agent mentionné à l'article 5 et de l'assistant ou du conseiller de prévention.</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conditions d'exercice du droit d'accès peuvent faire l'objet d'adaptations s'agissant des services soumis à des procédures d'accès réservé par la réglementation. Ces adaptations sont fixées par voie d'arrêté de l'autorité territoriale.</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Les missions accomplies en application du présent article doivent donner lieu à un rapport présenté au comité.</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41.-</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procède, dans le cadre de sa mission d'enquête en matière d'accidents du travail, d'accidents de service ou de maladies professionnelles ou à caractère professionnel, à une enquête à l'occasion de chaque accident du travail, chaque accident de service ou de chaque maladie professionnelle ou à caractère professionnel au sens des 3° et 4° de l'article 6.</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enquêtes sont réalisées par une délégation comprenant un représentant de la collectivité ou de l'établissement et un représentant du personnel. La délégation peut être assistée d'un médecin du service de médecine préventive, de l'agent mentionné à l'article 5 et de l'assistant ou du conseiller de prévention.</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 comité est informé des conclusions de chaque enquête et des suites qui leur sont données.</w:t>
      </w:r>
    </w:p>
    <w:p w:rsidR="00923428" w:rsidRDefault="00923428">
      <w:pPr>
        <w:rPr>
          <w:rFonts w:ascii="Calibri" w:eastAsia="Times New Roman" w:hAnsi="Calibri" w:cs="Times New Roman"/>
          <w:color w:val="FF0000"/>
          <w:sz w:val="19"/>
          <w:szCs w:val="19"/>
          <w:lang w:eastAsia="fr-FR"/>
        </w:rPr>
      </w:pPr>
      <w:r>
        <w:rPr>
          <w:rFonts w:ascii="Calibri" w:eastAsia="Times New Roman" w:hAnsi="Calibri" w:cs="Times New Roman"/>
          <w:color w:val="FF0000"/>
          <w:sz w:val="19"/>
          <w:szCs w:val="19"/>
          <w:lang w:eastAsia="fr-FR"/>
        </w:rPr>
        <w:br w:type="page"/>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42.-</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peut demander au président de faire appel à un expert agréé conformément aux articles R. 4614-6 et suivants du code du travail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En cas de risque grave, révélé ou non par un accident de service ou par un accident du travail ou en cas de maladie professionnelle ou à caractère professionnel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2° En cas de projet important modifiant les conditions de santé et de sécurité ou les conditions de travail, prévu à l'article 45 du présent décret.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Les frais d'expertise sont supportés par la collectivité territoriale ou l'établissement dont relève le comité.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L'autorité territoriale fournit à l'expert les informations nécessaires à sa mission. Ce dernier est soumis à une obligation de discrétion.</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La décision de l'autorité territoriale refusant de faire appel à un expert doit être substantiellement motivée. Cette décision est communiquée sans délai au comité.</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 xml:space="preserve">En cas de désaccord sérieux et persistant entre le comité et l'autorité territoriale sur le recours à l'expert agréé, la procédure prévue à l'article 5-2 du présent décret peut être mise en </w:t>
      </w:r>
      <w:proofErr w:type="spellStart"/>
      <w:r w:rsidRPr="00A415EF">
        <w:rPr>
          <w:rFonts w:ascii="Calibri" w:eastAsia="Times New Roman" w:hAnsi="Calibri" w:cs="Times New Roman"/>
          <w:color w:val="FF0000"/>
          <w:sz w:val="19"/>
          <w:szCs w:val="19"/>
          <w:lang w:eastAsia="fr-FR"/>
        </w:rPr>
        <w:t>oeuvre</w:t>
      </w:r>
      <w:proofErr w:type="spellEnd"/>
      <w:r w:rsidRPr="00A415EF">
        <w:rPr>
          <w:rFonts w:ascii="Calibri" w:eastAsia="Times New Roman" w:hAnsi="Calibri" w:cs="Times New Roman"/>
          <w:color w:val="FF0000"/>
          <w:sz w:val="19"/>
          <w:szCs w:val="19"/>
          <w:lang w:eastAsia="fr-FR"/>
        </w:rPr>
        <w:t>.</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43.-</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est informé de toutes les visites et observations faites par les agents mentionnés à l'article 5.</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44.-</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peut demander à l'autorité territoriale de solliciter une audition ou des observations de l'employeur d'un établissement dont l'activité expose les agents de son ressort à des nuisances particulières. Il est informé des suites réservées à sa demande.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45.-</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est consulté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Sur les projets d'aménagement importants modifiant les conditions de santé et de sécurité ou les conditions de travail et, notamment, avant toute transformation importante des postes de travail découlant de la modification de l'outillage, d'un changement de produit ou de l'organisation du travail ;</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2° Sur les projets importants d'introduction de nouvelles technologies et lors de l'introduction de ces nouvelle technologies, lorsqu'elles sont susceptibles d'avoir des conséquences sur la santé et la sécurité des agents.</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46.-</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est consulté sur les mesures générales prises en vue de faciliter la mise, la remise ou le maintien au travail des accidentés du travail et accidentés de service, des invalides de guerre, des invalides civils et des travailleurs handicapés, notamment sur l'aménagement des postes de travail. Il est également consulté sur les mesures générales destinées à permettre le reclassement des agents reconnus inaptes à l'exercice de leurs fonctions.</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47.-</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Dans les collectivités ou établissements comportant une ou plusieurs installations soumises à autorisation au titre de l'article L. 512-1 du code de l'environnement ou soumise aux dispositions des articles 3-1 et 104 à 104-8 du code minier, les documents établis à l'intention des autorités publiques chargées de la protection de l'environnement sont portés à la connaissance du comité par le président du comité, conformément à l'article L. 4612-15 du code du travail et ses décrets d'application.</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48.-</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est consulté sur la teneur de tous documents se rattachant à sa mission, et notamment des règlements et des consignes que l'autorité territoriale envisage d'adopter en matière d'hygiène, de sécurité et de conditions de travail.</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Ces documents sont également communiqués, pour avis, aux agents mentionnés à l'article 5.</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 comité prend, en outre, connaissance des observations et suggestions relatives à la prévention des risques professionnels et à l'amélioration des conditions de travail consignées sur le registre de santé et sécurité au travail mentionné à l'article 3-1.</w:t>
      </w:r>
    </w:p>
    <w:p w:rsidR="00923428" w:rsidRDefault="00923428">
      <w:pPr>
        <w:rPr>
          <w:rFonts w:ascii="Calibri" w:eastAsia="Times New Roman" w:hAnsi="Calibri" w:cs="Times New Roman"/>
          <w:color w:val="FF0000"/>
          <w:sz w:val="19"/>
          <w:szCs w:val="19"/>
          <w:lang w:eastAsia="fr-FR"/>
        </w:rPr>
      </w:pPr>
      <w:r>
        <w:rPr>
          <w:rFonts w:ascii="Calibri" w:eastAsia="Times New Roman" w:hAnsi="Calibri" w:cs="Times New Roman"/>
          <w:color w:val="FF0000"/>
          <w:sz w:val="19"/>
          <w:szCs w:val="19"/>
          <w:lang w:eastAsia="fr-FR"/>
        </w:rPr>
        <w:br w:type="page"/>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49.-</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Chaque année, le président soumet au comité, pour avis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Un rapport annuel écrit faisant le bilan de la situation générale de la santé, de la sécurité et des conditions de travail du ou des services entrant dans le champ de compétence du comité et des actions menées au cours de l'année écoulée. Ce bilan est établi notamment sur la base des indications contenues dans le rapport prévu par le décret n° 97-443 du 25 avril 1997 relatif au rapport pris en application de l'avant-dernier alinéa de l'article 33 de la loi n° 84-53 du 26 janvier 1984 modifiée portant dispositions statutaires relatives à la fonction publique territoriale. Il fait état des indications contenues dans le registre prévu à l'article 5-3 du présent décret.</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Un exemplaire de ce rapport est transmis au centre de gestion.</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Chaque centre de gestion établit sur la base de ces documents un rapport de synthèse bisannuel qu'il transmet au Conseil supérieur de la fonction publique territoriale en annexe au rapport pris pour l'application de l'article 33 de la loi du 26 janvier 1984 précitée ;</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2° Un programme annuel de prévention des risques professionnels et d'amélioration des conditions de travail établi à partir de l'analyse prévue à l'article 39 du présent décret et du rapport annuel. Il fixe la liste détaillée des réalisations ou actions qu'il lui paraît souhaitable d'entreprendre au cours de l'année à venir. Il précise, pour chaque réalisation ou action, ses conditions d'exécution et l'estimation de son coût.</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50.-</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peut proposer un ordre de priorité et des mesures supplémentaires au programme annuel de prévention.</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Lorsque certaines mesures prévues au programme de prévention n'ont pas été prises, les motifs en sont donnés en annexe au rapport annuel.</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51.-</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examine le rapport annuel établi par le service de médecine préventive en vertu de l'article 26.</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jc w:val="center"/>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CHAPITRE VI : Fonctionnement des comités d'hygiène, de sécurité et des conditions de travail</w:t>
      </w:r>
    </w:p>
    <w:p w:rsidR="00923428" w:rsidRPr="00A415EF" w:rsidRDefault="00923428" w:rsidP="00A415EF">
      <w:pPr>
        <w:shd w:val="clear" w:color="auto" w:fill="FFFFFF"/>
        <w:spacing w:after="0" w:line="264" w:lineRule="atLeast"/>
        <w:jc w:val="center"/>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52.-</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Les dispositions du présent chapitre concernent le comité d'hygiène, de sécurité et des conditions de travail ou le comité technique lorsqu'il exerce les missions du comité d'hygiène, de sécurité et des conditions de travail.</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53.-</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Les règles de fonctionnement prévues par le décret du 30 mai 1985 susvisé relatif aux comités techniques sont applicables aux comités sous réserve des dispositions du présent chapitre.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54.-</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b/>
          <w:bCs/>
          <w:color w:val="FF0000"/>
          <w:lang w:eastAsia="fr-FR"/>
        </w:rPr>
        <w:t>I.-</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L'avis du comité est émis à la majorité des représentants du personnel présents ayant voix délibérative. En cas de partage des voix, l'avis du comité est réputé avoir été donné.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II.-</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La délibération de l'organe délibérant de la collectivité ou de l'établissement auprès duquel est placé le comité, prévue à l'article 28, peut prévoir le recueil de l'avis des représentants de la collectivité ou de l'établissement. La décision de recueillir cet avis peut également être prise par une délibération adoptée dans les six mois suivant le renouvellement de l'organe délibérant de la collectivité ou de l'établissement intervenant entre deux renouvellements du comité.</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Dans ce cas, l'avis du comité est rendu lorsqu'ont été recueillis, d'une part, l'avis du collège des représentants de la collectivité ou de l'établissement et, d'autre part, l'avis du collège des représentants du personnel.</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Chaque collège émet son avis à la majorité des membres présents ayant voix délibérative. En cas de partage des voix au sein d'un collège, l'avis de celui-ci est réputé avoir été donné.</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55.-</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d'hygiène, de sécurité et des conditions de travail est présidé par l'un des représentants de la collectivité ou de l'établissement, désigné par l'autorité territoriale dans les conditions définies à l'article 31.</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56.-</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secrétaire du comité est désigné par les représentants du personnel en leur sein. Lors de la désignation du secrétaire, est également fixée la durée de son mandat. Le règlement intérieur détermine les modalités de la désignation.</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Après chaque réunion, il est établi un procès-verbal comprenant le compte rendu des débats et le détail des votes. Ce document est signé par le président et par le secrétaire, puis transmis dans le délai d'un mois aux membres du comité. Ce procès-verbal est soumis à l'approbation du comité lors de la séance suivante.</w:t>
      </w:r>
    </w:p>
    <w:p w:rsidR="00923428" w:rsidRDefault="00923428">
      <w:pPr>
        <w:rPr>
          <w:rFonts w:ascii="Calibri" w:eastAsia="Times New Roman" w:hAnsi="Calibri" w:cs="Times New Roman"/>
          <w:color w:val="FF0000"/>
          <w:sz w:val="19"/>
          <w:szCs w:val="19"/>
          <w:lang w:eastAsia="fr-FR"/>
        </w:rPr>
      </w:pPr>
      <w:r>
        <w:rPr>
          <w:rFonts w:ascii="Calibri" w:eastAsia="Times New Roman" w:hAnsi="Calibri" w:cs="Times New Roman"/>
          <w:color w:val="FF0000"/>
          <w:sz w:val="19"/>
          <w:szCs w:val="19"/>
          <w:lang w:eastAsia="fr-FR"/>
        </w:rPr>
        <w:br w:type="page"/>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57.-</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Lorsque les circonstances le justifient et à titre exceptionnel, les réunions du comité peuvent être organisées par visioconférence, sous réserve que cette technique permette d'assurer que, tout au long de la séance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1° Ne participent que les personnes habilitées à siéger avec voix délibérative ou consultative au comité ;</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2° Chaque membre siégeant avec voix délibérative ait la possibilité de demander à participer effectivement aux débats ;</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3° Le président soit en mesure d'exercer son pouvoir de police de la séance.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58.-</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comité se réunit au moins trois fois par an sur convocation de son président, à son initiative, ou dans le délai maximum d'un mois, sur demande écrite de deux représentants titulaires du personnel lorsque le comité comprend au plus quatre représentants titulaires et de trois représentants dans les autres cas.</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En outre, le comité est réuni par son président à la suite de tout accident dans les conditions prévues par le II de l'article 33-1 de la loi du 26 janvier 1984 susvisée.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59.-</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L'acte portant convocation du comité fixe l'ordre du jour de la séance. Le secrétaire du comité est consulté préalablement à la définition de l'ordre du jour et peut proposer l'inscription de points à l'ordre du jour.</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Les questions entrant dans le champ de compétence du comité dont l'examen a été demandé par les représentants titulaires du personnel dans les conditions prévues à l'article 55 sont inscrites à l'ordre du jour.</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60.-</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 président du comité, à son initiative ou à la demande des représentants du personnel, peut convoquer des experts afin qu'ils soient entendus sur un point inscrit à l'ordre du jour ou faire appel, à titre consultatif, au concours de toute personne qui lui paraîtrait qualifiée.</w:t>
      </w: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color w:val="FF0000"/>
          <w:sz w:val="19"/>
          <w:szCs w:val="19"/>
          <w:lang w:eastAsia="fr-FR"/>
        </w:rPr>
        <w:t>Les experts et les personnes qualifiées n'ont pas voix délibérative. Ils n'assistent qu'à la partie des débats relative aux questions de l'ordre du jour pour lesquelles leur présence a été requise.</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Default="00A415EF" w:rsidP="00A415EF">
      <w:pPr>
        <w:shd w:val="clear" w:color="auto" w:fill="FFFFFF"/>
        <w:spacing w:after="0" w:line="264" w:lineRule="atLeast"/>
        <w:ind w:right="150"/>
        <w:jc w:val="both"/>
        <w:rPr>
          <w:rFonts w:ascii="Calibri" w:eastAsia="Times New Roman" w:hAnsi="Calibri" w:cs="Times New Roman"/>
          <w:color w:val="FF0000"/>
          <w:sz w:val="19"/>
          <w:szCs w:val="19"/>
          <w:lang w:eastAsia="fr-FR"/>
        </w:rPr>
      </w:pPr>
      <w:r w:rsidRPr="00A415EF">
        <w:rPr>
          <w:rFonts w:ascii="Calibri" w:eastAsia="Times New Roman" w:hAnsi="Calibri" w:cs="Times New Roman"/>
          <w:b/>
          <w:bCs/>
          <w:color w:val="FF0000"/>
          <w:lang w:eastAsia="fr-FR"/>
        </w:rPr>
        <w:t>Art. 61.-</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Une autorisation d'absence est accordée aux représentants du personnel faisant partie de la délégation du comité réalisant les enquêtes ou les visites prévues aux articles 40 et 41 et dans toute situation d'urgence, pour le temps passé à la recherche de mesures préventives notamment pour l'application de l'article 5-2.</w:t>
      </w:r>
    </w:p>
    <w:p w:rsidR="00923428" w:rsidRPr="00A415EF" w:rsidRDefault="00923428"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b/>
          <w:bCs/>
          <w:color w:val="FF0000"/>
          <w:lang w:eastAsia="fr-FR"/>
        </w:rPr>
        <w:t>Art. 62.-</w:t>
      </w:r>
      <w:r w:rsidRPr="00A415EF">
        <w:rPr>
          <w:rFonts w:ascii="Calibri" w:eastAsia="Times New Roman" w:hAnsi="Calibri" w:cs="Times New Roman"/>
          <w:color w:val="FF0000"/>
          <w:sz w:val="19"/>
          <w:lang w:eastAsia="fr-FR"/>
        </w:rPr>
        <w:t> </w:t>
      </w:r>
      <w:r w:rsidRPr="00A415EF">
        <w:rPr>
          <w:rFonts w:ascii="Calibri" w:eastAsia="Times New Roman" w:hAnsi="Calibri" w:cs="Times New Roman"/>
          <w:color w:val="FF0000"/>
          <w:sz w:val="19"/>
          <w:szCs w:val="19"/>
          <w:lang w:eastAsia="fr-FR"/>
        </w:rPr>
        <w:t>Les propositions et les avis du comité sont transmis à l'autorité territoriale ; ils sont portés, par tout moyen approprié, à la connaissance des agents, dans un délai d'un mois.</w:t>
      </w:r>
    </w:p>
    <w:p w:rsidR="00A415EF" w:rsidRPr="00A415EF" w:rsidRDefault="00A415EF" w:rsidP="00A415EF">
      <w:pPr>
        <w:shd w:val="clear" w:color="auto" w:fill="FFFFFF"/>
        <w:spacing w:after="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FF0000"/>
          <w:sz w:val="19"/>
          <w:szCs w:val="19"/>
          <w:lang w:eastAsia="fr-FR"/>
        </w:rPr>
        <w:t>Le président du comité informe, dans un délai de deux mois, par une communication écrite, les membres du comité des suites données aux propositions et avis de celui-ci.</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Fait à Paris, le 10 juin 1985.</w:t>
      </w:r>
    </w:p>
    <w:p w:rsidR="00A415EF" w:rsidRPr="00A415EF" w:rsidRDefault="00A415EF" w:rsidP="00A415EF">
      <w:pPr>
        <w:shd w:val="clear" w:color="auto" w:fill="FFFFFF"/>
        <w:spacing w:before="120" w:after="120" w:line="264" w:lineRule="atLeast"/>
        <w:ind w:right="150"/>
        <w:jc w:val="both"/>
        <w:rPr>
          <w:rFonts w:ascii="Calibri" w:eastAsia="Times New Roman" w:hAnsi="Calibri" w:cs="Times New Roman"/>
          <w:color w:val="000000"/>
          <w:sz w:val="19"/>
          <w:szCs w:val="19"/>
          <w:lang w:eastAsia="fr-FR"/>
        </w:rPr>
      </w:pPr>
      <w:r w:rsidRPr="00A415EF">
        <w:rPr>
          <w:rFonts w:ascii="Calibri" w:eastAsia="Times New Roman" w:hAnsi="Calibri" w:cs="Times New Roman"/>
          <w:color w:val="000000"/>
          <w:sz w:val="19"/>
          <w:szCs w:val="19"/>
          <w:lang w:eastAsia="fr-FR"/>
        </w:rPr>
        <w:t>(J.O. du 18 juin 1985)</w:t>
      </w:r>
    </w:p>
    <w:p w:rsidR="00A415EF" w:rsidRPr="00A415EF" w:rsidRDefault="0041083D" w:rsidP="00A415EF">
      <w:pPr>
        <w:shd w:val="clear" w:color="auto" w:fill="FFFFFF"/>
        <w:spacing w:before="120" w:after="120" w:line="264" w:lineRule="atLeast"/>
        <w:jc w:val="both"/>
        <w:rPr>
          <w:rFonts w:ascii="Calibri" w:eastAsia="Times New Roman" w:hAnsi="Calibri" w:cs="Times New Roman"/>
          <w:color w:val="000000"/>
          <w:sz w:val="19"/>
          <w:szCs w:val="19"/>
          <w:lang w:eastAsia="fr-FR"/>
        </w:rPr>
      </w:pPr>
      <w:r w:rsidRPr="0041083D">
        <w:rPr>
          <w:rFonts w:ascii="Calibri" w:eastAsia="Times New Roman" w:hAnsi="Calibri" w:cs="Times New Roman"/>
          <w:color w:val="000000"/>
          <w:sz w:val="19"/>
          <w:szCs w:val="19"/>
          <w:lang w:eastAsia="fr-FR"/>
        </w:rPr>
        <w:pict>
          <v:rect id="_x0000_i1027" style="width:0;height:.75pt" o:hralign="center" o:hrstd="t" o:hr="t" fillcolor="#9d9da1" stroked="f"/>
        </w:pict>
      </w:r>
    </w:p>
    <w:p w:rsidR="00A415EF" w:rsidRPr="00A415EF" w:rsidRDefault="00A415EF" w:rsidP="00A415EF">
      <w:pPr>
        <w:shd w:val="clear" w:color="auto" w:fill="FFFFFF"/>
        <w:spacing w:after="0" w:line="264" w:lineRule="atLeast"/>
        <w:jc w:val="both"/>
        <w:rPr>
          <w:rFonts w:ascii="Calibri" w:eastAsia="Times New Roman" w:hAnsi="Calibri" w:cs="Times New Roman"/>
          <w:color w:val="000000"/>
          <w:sz w:val="19"/>
          <w:szCs w:val="19"/>
          <w:lang w:eastAsia="fr-FR"/>
        </w:rPr>
      </w:pPr>
      <w:r w:rsidRPr="00A415EF">
        <w:rPr>
          <w:rFonts w:ascii="Calibri" w:eastAsia="Times New Roman" w:hAnsi="Calibri" w:cs="Times New Roman"/>
          <w:i/>
          <w:iCs/>
          <w:color w:val="000000"/>
          <w:sz w:val="19"/>
          <w:szCs w:val="19"/>
          <w:lang w:eastAsia="fr-FR"/>
        </w:rPr>
        <w:t>Modifié en dernier lieu par le décret n°2012-170 du 3 février 2012 (JO du 5 février 2012)</w:t>
      </w:r>
    </w:p>
    <w:p w:rsidR="001E7EDA" w:rsidRDefault="001E7EDA" w:rsidP="00A415EF"/>
    <w:sectPr w:rsidR="001E7EDA" w:rsidSect="00923428">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15EF"/>
    <w:rsid w:val="001E7EDA"/>
    <w:rsid w:val="0041083D"/>
    <w:rsid w:val="00923428"/>
    <w:rsid w:val="00A170F1"/>
    <w:rsid w:val="00A415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DA"/>
  </w:style>
  <w:style w:type="paragraph" w:styleId="Titre1">
    <w:name w:val="heading 1"/>
    <w:basedOn w:val="Normal"/>
    <w:link w:val="Titre1Car"/>
    <w:uiPriority w:val="9"/>
    <w:qFormat/>
    <w:rsid w:val="00A41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15EF"/>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A415EF"/>
  </w:style>
  <w:style w:type="character" w:customStyle="1" w:styleId="fiche">
    <w:name w:val="fiche"/>
    <w:basedOn w:val="Policepardfaut"/>
    <w:rsid w:val="00A415EF"/>
  </w:style>
  <w:style w:type="paragraph" w:styleId="NormalWeb">
    <w:name w:val="Normal (Web)"/>
    <w:basedOn w:val="Normal"/>
    <w:uiPriority w:val="99"/>
    <w:semiHidden/>
    <w:unhideWhenUsed/>
    <w:rsid w:val="00A415E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35793137">
      <w:bodyDiv w:val="1"/>
      <w:marLeft w:val="0"/>
      <w:marRight w:val="0"/>
      <w:marTop w:val="0"/>
      <w:marBottom w:val="0"/>
      <w:divBdr>
        <w:top w:val="none" w:sz="0" w:space="0" w:color="auto"/>
        <w:left w:val="none" w:sz="0" w:space="0" w:color="auto"/>
        <w:bottom w:val="none" w:sz="0" w:space="0" w:color="auto"/>
        <w:right w:val="none" w:sz="0" w:space="0" w:color="auto"/>
      </w:divBdr>
      <w:divsChild>
        <w:div w:id="1730375709">
          <w:marLeft w:val="0"/>
          <w:marRight w:val="0"/>
          <w:marTop w:val="0"/>
          <w:marBottom w:val="0"/>
          <w:divBdr>
            <w:top w:val="none" w:sz="0" w:space="0" w:color="auto"/>
            <w:left w:val="none" w:sz="0" w:space="0" w:color="auto"/>
            <w:bottom w:val="none" w:sz="0" w:space="0" w:color="auto"/>
            <w:right w:val="none" w:sz="0" w:space="0" w:color="auto"/>
          </w:divBdr>
          <w:divsChild>
            <w:div w:id="1646738889">
              <w:marLeft w:val="2400"/>
              <w:marRight w:val="0"/>
              <w:marTop w:val="0"/>
              <w:marBottom w:val="0"/>
              <w:divBdr>
                <w:top w:val="none" w:sz="0" w:space="0" w:color="auto"/>
                <w:left w:val="none" w:sz="0" w:space="0" w:color="auto"/>
                <w:bottom w:val="none" w:sz="0" w:space="0" w:color="auto"/>
                <w:right w:val="none" w:sz="0" w:space="0" w:color="auto"/>
              </w:divBdr>
              <w:divsChild>
                <w:div w:id="1015840696">
                  <w:marLeft w:val="0"/>
                  <w:marRight w:val="0"/>
                  <w:marTop w:val="0"/>
                  <w:marBottom w:val="0"/>
                  <w:divBdr>
                    <w:top w:val="none" w:sz="0" w:space="0" w:color="auto"/>
                    <w:left w:val="none" w:sz="0" w:space="0" w:color="auto"/>
                    <w:bottom w:val="none" w:sz="0" w:space="0" w:color="auto"/>
                    <w:right w:val="none" w:sz="0" w:space="0" w:color="auto"/>
                  </w:divBdr>
                  <w:divsChild>
                    <w:div w:id="318075940">
                      <w:marLeft w:val="0"/>
                      <w:marRight w:val="0"/>
                      <w:marTop w:val="0"/>
                      <w:marBottom w:val="0"/>
                      <w:divBdr>
                        <w:top w:val="none" w:sz="0" w:space="0" w:color="auto"/>
                        <w:left w:val="none" w:sz="0" w:space="0" w:color="auto"/>
                        <w:bottom w:val="none" w:sz="0" w:space="0" w:color="auto"/>
                        <w:right w:val="none" w:sz="0" w:space="0" w:color="auto"/>
                      </w:divBdr>
                      <w:divsChild>
                        <w:div w:id="1326084194">
                          <w:marLeft w:val="0"/>
                          <w:marRight w:val="0"/>
                          <w:marTop w:val="0"/>
                          <w:marBottom w:val="0"/>
                          <w:divBdr>
                            <w:top w:val="none" w:sz="0" w:space="0" w:color="auto"/>
                            <w:left w:val="none" w:sz="0" w:space="0" w:color="auto"/>
                            <w:bottom w:val="none" w:sz="0" w:space="0" w:color="auto"/>
                            <w:right w:val="none" w:sz="0" w:space="0" w:color="auto"/>
                          </w:divBdr>
                          <w:divsChild>
                            <w:div w:id="1886258222">
                              <w:marLeft w:val="0"/>
                              <w:marRight w:val="0"/>
                              <w:marTop w:val="0"/>
                              <w:marBottom w:val="0"/>
                              <w:divBdr>
                                <w:top w:val="none" w:sz="0" w:space="0" w:color="auto"/>
                                <w:left w:val="none" w:sz="0" w:space="0" w:color="auto"/>
                                <w:bottom w:val="none" w:sz="0" w:space="0" w:color="auto"/>
                                <w:right w:val="none" w:sz="0" w:space="0" w:color="auto"/>
                              </w:divBdr>
                              <w:divsChild>
                                <w:div w:id="1860268003">
                                  <w:marLeft w:val="0"/>
                                  <w:marRight w:val="0"/>
                                  <w:marTop w:val="0"/>
                                  <w:marBottom w:val="0"/>
                                  <w:divBdr>
                                    <w:top w:val="none" w:sz="0" w:space="0" w:color="auto"/>
                                    <w:left w:val="none" w:sz="0" w:space="0" w:color="auto"/>
                                    <w:bottom w:val="none" w:sz="0" w:space="0" w:color="auto"/>
                                    <w:right w:val="none" w:sz="0" w:space="0" w:color="auto"/>
                                  </w:divBdr>
                                  <w:divsChild>
                                    <w:div w:id="28067004">
                                      <w:marLeft w:val="0"/>
                                      <w:marRight w:val="0"/>
                                      <w:marTop w:val="0"/>
                                      <w:marBottom w:val="0"/>
                                      <w:divBdr>
                                        <w:top w:val="none" w:sz="0" w:space="0" w:color="auto"/>
                                        <w:left w:val="none" w:sz="0" w:space="0" w:color="auto"/>
                                        <w:bottom w:val="none" w:sz="0" w:space="0" w:color="auto"/>
                                        <w:right w:val="none" w:sz="0" w:space="0" w:color="auto"/>
                                      </w:divBdr>
                                      <w:divsChild>
                                        <w:div w:id="14601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11267</Words>
  <Characters>61970</Characters>
  <Application>Microsoft Office Word</Application>
  <DocSecurity>0</DocSecurity>
  <Lines>516</Lines>
  <Paragraphs>146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73091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dc:creator>
  <cp:keywords/>
  <dc:description/>
  <cp:lastModifiedBy> Laure</cp:lastModifiedBy>
  <cp:revision>2</cp:revision>
  <dcterms:created xsi:type="dcterms:W3CDTF">2012-07-20T08:06:00Z</dcterms:created>
  <dcterms:modified xsi:type="dcterms:W3CDTF">2012-11-06T13:58:00Z</dcterms:modified>
</cp:coreProperties>
</file>