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6288" w:rsidRPr="00CF4BA2" w:rsidRDefault="00213A20" w:rsidP="00CF4BA2">
      <w:pPr>
        <w:spacing w:after="240"/>
        <w:jc w:val="both"/>
        <w:textAlignment w:val="baseline"/>
        <w:rPr>
          <w:rFonts w:ascii="Century Gothic" w:hAnsi="Century Gothic" w:cs="Arial"/>
          <w:color w:val="2E74B5"/>
          <w:szCs w:val="22"/>
        </w:rPr>
      </w:pPr>
      <w:r>
        <w:rPr>
          <w:rFonts w:ascii="Century Gothic" w:hAnsi="Century Gothic" w:cs="Arial"/>
          <w:b/>
          <w:bCs/>
          <w:color w:val="2E74B5"/>
          <w:szCs w:val="22"/>
          <w:bdr w:val="none" w:sz="0" w:space="0" w:color="auto" w:frame="1"/>
        </w:rPr>
        <w:t>I</w:t>
      </w:r>
      <w:r w:rsidR="00CF4BA2" w:rsidRPr="00CF4BA2">
        <w:rPr>
          <w:rFonts w:ascii="Century Gothic" w:hAnsi="Century Gothic" w:cs="Arial"/>
          <w:b/>
          <w:bCs/>
          <w:color w:val="2E74B5"/>
          <w:szCs w:val="22"/>
          <w:bdr w:val="none" w:sz="0" w:space="0" w:color="auto" w:frame="1"/>
        </w:rPr>
        <w:t>è</w:t>
      </w:r>
      <w:r>
        <w:rPr>
          <w:rFonts w:ascii="Century Gothic" w:hAnsi="Century Gothic" w:cs="Arial"/>
          <w:b/>
          <w:bCs/>
          <w:color w:val="2E74B5"/>
          <w:szCs w:val="22"/>
          <w:bdr w:val="none" w:sz="0" w:space="0" w:color="auto" w:frame="1"/>
        </w:rPr>
        <w:t>r</w:t>
      </w:r>
      <w:r w:rsidR="00CF4BA2" w:rsidRPr="00CF4BA2">
        <w:rPr>
          <w:rFonts w:ascii="Century Gothic" w:hAnsi="Century Gothic" w:cs="Arial"/>
          <w:b/>
          <w:bCs/>
          <w:color w:val="2E74B5"/>
          <w:szCs w:val="22"/>
          <w:bdr w:val="none" w:sz="0" w:space="0" w:color="auto" w:frame="1"/>
        </w:rPr>
        <w:t>e PARTIE : PROTECTION DES DONNEES A CARACTERE PERSONNEL</w:t>
      </w:r>
    </w:p>
    <w:p w:rsidR="00CF4BA2" w:rsidRPr="00CF4BA2" w:rsidRDefault="00CF4BA2" w:rsidP="00CF4BA2">
      <w:pPr>
        <w:spacing w:before="120" w:after="240"/>
        <w:jc w:val="both"/>
        <w:rPr>
          <w:rFonts w:ascii="Century Gothic" w:hAnsi="Century Gothic" w:cs="Arial"/>
          <w:b/>
          <w:color w:val="222222"/>
          <w:sz w:val="22"/>
          <w:szCs w:val="22"/>
        </w:rPr>
      </w:pPr>
      <w:r>
        <w:rPr>
          <w:rFonts w:ascii="Century Gothic" w:hAnsi="Century Gothic" w:cs="Arial"/>
          <w:b/>
          <w:color w:val="222222"/>
          <w:sz w:val="22"/>
          <w:szCs w:val="22"/>
        </w:rPr>
        <w:t xml:space="preserve">Article </w:t>
      </w:r>
      <w:r w:rsidR="00213A20">
        <w:rPr>
          <w:rFonts w:ascii="Century Gothic" w:hAnsi="Century Gothic" w:cs="Arial"/>
          <w:b/>
          <w:color w:val="222222"/>
          <w:sz w:val="22"/>
          <w:szCs w:val="22"/>
        </w:rPr>
        <w:t>1</w:t>
      </w:r>
      <w:r>
        <w:rPr>
          <w:rFonts w:ascii="Century Gothic" w:hAnsi="Century Gothic" w:cs="Arial"/>
          <w:b/>
          <w:color w:val="222222"/>
          <w:sz w:val="22"/>
          <w:szCs w:val="22"/>
        </w:rPr>
        <w:t> : confidentialité des données</w:t>
      </w:r>
    </w:p>
    <w:p w:rsidR="00D56288" w:rsidRDefault="00D56288" w:rsidP="00A15BAE">
      <w:pPr>
        <w:spacing w:after="120"/>
        <w:jc w:val="both"/>
        <w:rPr>
          <w:rFonts w:ascii="Century Gothic" w:hAnsi="Century Gothic" w:cs="Arial"/>
          <w:color w:val="222222"/>
          <w:sz w:val="22"/>
          <w:szCs w:val="22"/>
        </w:rPr>
      </w:pPr>
      <w:r w:rsidRPr="00A15BAE">
        <w:rPr>
          <w:rFonts w:ascii="Century Gothic" w:hAnsi="Century Gothic" w:cs="Arial"/>
          <w:color w:val="222222"/>
          <w:sz w:val="22"/>
          <w:szCs w:val="22"/>
        </w:rPr>
        <w:t xml:space="preserve">Le règlement n°2016/679 dit « règlement général sur la protection des données » du 27 avril 2016 définit les conditions dans lesquelles des traitements de données personnelles peuvent être opérés. Il institue au profit des personnes concernées par les traitements de données des droits que </w:t>
      </w:r>
      <w:r w:rsidR="001A5B5C" w:rsidRPr="00A15BAE">
        <w:rPr>
          <w:rFonts w:ascii="Century Gothic" w:hAnsi="Century Gothic" w:cs="Arial"/>
          <w:color w:val="222222"/>
          <w:sz w:val="22"/>
          <w:szCs w:val="22"/>
        </w:rPr>
        <w:t>le présent règlement</w:t>
      </w:r>
      <w:r w:rsidRPr="00A15BAE">
        <w:rPr>
          <w:rFonts w:ascii="Century Gothic" w:hAnsi="Century Gothic" w:cs="Arial"/>
          <w:color w:val="222222"/>
          <w:sz w:val="22"/>
          <w:szCs w:val="22"/>
        </w:rPr>
        <w:t xml:space="preserve"> invite à respecter, tant à l’égard des utilisateurs que des tiers.</w:t>
      </w:r>
    </w:p>
    <w:p w:rsidR="00D56288" w:rsidRPr="00A15BAE" w:rsidRDefault="00D56288" w:rsidP="00A15BAE">
      <w:pPr>
        <w:spacing w:after="120"/>
        <w:jc w:val="both"/>
        <w:rPr>
          <w:rFonts w:ascii="Century Gothic" w:hAnsi="Century Gothic" w:cs="Arial"/>
          <w:color w:val="222222"/>
          <w:sz w:val="22"/>
          <w:szCs w:val="22"/>
        </w:rPr>
      </w:pPr>
      <w:r w:rsidRPr="00A15BAE">
        <w:rPr>
          <w:rFonts w:ascii="Century Gothic" w:hAnsi="Century Gothic" w:cs="Arial"/>
          <w:color w:val="222222"/>
          <w:sz w:val="22"/>
          <w:szCs w:val="22"/>
        </w:rPr>
        <w:t>Les agents sont soumis à une obligation de discrétion qui leur impose d’assurer la confidentialité des données qu’ils détiennent.</w:t>
      </w:r>
    </w:p>
    <w:p w:rsidR="00D56288" w:rsidRDefault="00D56288" w:rsidP="00A15BAE">
      <w:pPr>
        <w:spacing w:after="120"/>
        <w:jc w:val="both"/>
        <w:rPr>
          <w:rFonts w:ascii="Century Gothic" w:hAnsi="Century Gothic" w:cs="Arial"/>
          <w:color w:val="222222"/>
          <w:sz w:val="22"/>
          <w:szCs w:val="22"/>
        </w:rPr>
      </w:pPr>
      <w:r w:rsidRPr="00A15BAE">
        <w:rPr>
          <w:rFonts w:ascii="Century Gothic" w:hAnsi="Century Gothic" w:cs="Arial"/>
          <w:color w:val="222222"/>
          <w:sz w:val="22"/>
          <w:szCs w:val="22"/>
        </w:rPr>
        <w:t>Un comportement exemplaire est exigé dans toute communication orale ou écrite, téléphonique ou électronique, que ce soit lors d’échanges professionnels ou au cours de discussions relevant de la sphère privée.</w:t>
      </w:r>
    </w:p>
    <w:p w:rsidR="00A15BAE" w:rsidRPr="00A15BAE" w:rsidRDefault="00A15BAE" w:rsidP="00CF4BA2">
      <w:pPr>
        <w:spacing w:before="240" w:after="240"/>
        <w:jc w:val="both"/>
        <w:rPr>
          <w:rFonts w:ascii="Century Gothic" w:hAnsi="Century Gothic" w:cs="Arial"/>
          <w:b/>
          <w:color w:val="222222"/>
          <w:sz w:val="22"/>
          <w:szCs w:val="22"/>
        </w:rPr>
      </w:pPr>
      <w:r>
        <w:rPr>
          <w:rFonts w:ascii="Century Gothic" w:hAnsi="Century Gothic" w:cs="Arial"/>
          <w:b/>
          <w:color w:val="222222"/>
          <w:sz w:val="22"/>
          <w:szCs w:val="22"/>
        </w:rPr>
        <w:t xml:space="preserve">Article </w:t>
      </w:r>
      <w:r w:rsidR="00213A20">
        <w:rPr>
          <w:rFonts w:ascii="Century Gothic" w:hAnsi="Century Gothic" w:cs="Arial"/>
          <w:b/>
          <w:color w:val="222222"/>
          <w:sz w:val="22"/>
          <w:szCs w:val="22"/>
        </w:rPr>
        <w:t>2</w:t>
      </w:r>
      <w:r w:rsidR="00C665F9">
        <w:rPr>
          <w:rFonts w:ascii="Century Gothic" w:hAnsi="Century Gothic" w:cs="Arial"/>
          <w:b/>
          <w:color w:val="222222"/>
          <w:sz w:val="22"/>
          <w:szCs w:val="22"/>
        </w:rPr>
        <w:t> : accès aux données par les agents</w:t>
      </w:r>
    </w:p>
    <w:p w:rsidR="00A15BAE" w:rsidRDefault="00D56288" w:rsidP="00A15BAE">
      <w:pPr>
        <w:widowControl w:val="0"/>
        <w:autoSpaceDE w:val="0"/>
        <w:autoSpaceDN w:val="0"/>
        <w:adjustRightInd w:val="0"/>
        <w:spacing w:after="120"/>
        <w:jc w:val="both"/>
        <w:rPr>
          <w:rFonts w:ascii="Century Gothic" w:hAnsi="Century Gothic" w:cs="Arial"/>
          <w:sz w:val="22"/>
          <w:szCs w:val="22"/>
        </w:rPr>
      </w:pPr>
      <w:r w:rsidRPr="00A15BAE">
        <w:rPr>
          <w:rFonts w:ascii="Century Gothic" w:hAnsi="Century Gothic" w:cs="Arial"/>
          <w:sz w:val="22"/>
          <w:szCs w:val="22"/>
        </w:rPr>
        <w:t xml:space="preserve">L‘accès par les </w:t>
      </w:r>
      <w:r w:rsidR="00C665F9">
        <w:rPr>
          <w:rFonts w:ascii="Century Gothic" w:hAnsi="Century Gothic" w:cs="Arial"/>
          <w:sz w:val="22"/>
          <w:szCs w:val="22"/>
        </w:rPr>
        <w:t>agents</w:t>
      </w:r>
      <w:r w:rsidRPr="00A15BAE">
        <w:rPr>
          <w:rFonts w:ascii="Century Gothic" w:hAnsi="Century Gothic" w:cs="Arial"/>
          <w:sz w:val="22"/>
          <w:szCs w:val="22"/>
        </w:rPr>
        <w:t xml:space="preserve"> aux informations et documents conservés doit être limité à ceux qui leur sont propres, ainsi que ceux publics ou partagés.</w:t>
      </w:r>
    </w:p>
    <w:p w:rsidR="00D56288" w:rsidRDefault="00D56288" w:rsidP="00C665F9">
      <w:pPr>
        <w:widowControl w:val="0"/>
        <w:autoSpaceDE w:val="0"/>
        <w:autoSpaceDN w:val="0"/>
        <w:adjustRightInd w:val="0"/>
        <w:spacing w:after="120"/>
        <w:jc w:val="both"/>
        <w:rPr>
          <w:rFonts w:ascii="Century Gothic" w:hAnsi="Century Gothic" w:cs="Arial"/>
          <w:sz w:val="22"/>
          <w:szCs w:val="22"/>
        </w:rPr>
      </w:pPr>
      <w:r w:rsidRPr="00A15BAE">
        <w:rPr>
          <w:rFonts w:ascii="Century Gothic" w:hAnsi="Century Gothic" w:cs="Arial"/>
          <w:sz w:val="22"/>
          <w:szCs w:val="22"/>
        </w:rPr>
        <w:t xml:space="preserve">Il est ainsi interdit de prendre connaissance des informations détenues par d‘autres </w:t>
      </w:r>
      <w:r w:rsidR="00C665F9">
        <w:rPr>
          <w:rFonts w:ascii="Century Gothic" w:hAnsi="Century Gothic" w:cs="Arial"/>
          <w:sz w:val="22"/>
          <w:szCs w:val="22"/>
        </w:rPr>
        <w:t>agents</w:t>
      </w:r>
      <w:r w:rsidRPr="00A15BAE">
        <w:rPr>
          <w:rFonts w:ascii="Century Gothic" w:hAnsi="Century Gothic" w:cs="Arial"/>
          <w:sz w:val="22"/>
          <w:szCs w:val="22"/>
        </w:rPr>
        <w:t>, même si ceux-ci ne les ont pas explicitement protégées. Cette règle s‘applique en particulier aux données couvertes par le secret professionnel, ainsi qu‘aux conversations de type courrier électroniques dont l‘</w:t>
      </w:r>
      <w:r w:rsidR="00C665F9">
        <w:rPr>
          <w:rFonts w:ascii="Century Gothic" w:hAnsi="Century Gothic" w:cs="Arial"/>
          <w:sz w:val="22"/>
          <w:szCs w:val="22"/>
        </w:rPr>
        <w:t>agent</w:t>
      </w:r>
      <w:r w:rsidRPr="00A15BAE">
        <w:rPr>
          <w:rFonts w:ascii="Century Gothic" w:hAnsi="Century Gothic" w:cs="Arial"/>
          <w:sz w:val="22"/>
          <w:szCs w:val="22"/>
        </w:rPr>
        <w:t xml:space="preserve"> n‘est ni directement destinataire, ni en copie.</w:t>
      </w:r>
    </w:p>
    <w:p w:rsidR="00A15BAE" w:rsidRPr="00A15BAE" w:rsidRDefault="00C665F9" w:rsidP="00CF4BA2">
      <w:pPr>
        <w:widowControl w:val="0"/>
        <w:autoSpaceDE w:val="0"/>
        <w:autoSpaceDN w:val="0"/>
        <w:adjustRightInd w:val="0"/>
        <w:spacing w:before="240" w:after="240"/>
        <w:jc w:val="both"/>
        <w:rPr>
          <w:rFonts w:ascii="Century Gothic" w:hAnsi="Century Gothic" w:cs="Arial"/>
          <w:b/>
          <w:sz w:val="22"/>
          <w:szCs w:val="22"/>
        </w:rPr>
      </w:pPr>
      <w:r>
        <w:rPr>
          <w:rFonts w:ascii="Century Gothic" w:hAnsi="Century Gothic" w:cs="Arial"/>
          <w:b/>
          <w:sz w:val="22"/>
          <w:szCs w:val="22"/>
        </w:rPr>
        <w:t xml:space="preserve">Article </w:t>
      </w:r>
      <w:r w:rsidR="00213A20">
        <w:rPr>
          <w:rFonts w:ascii="Century Gothic" w:hAnsi="Century Gothic" w:cs="Arial"/>
          <w:b/>
          <w:sz w:val="22"/>
          <w:szCs w:val="22"/>
        </w:rPr>
        <w:t>3</w:t>
      </w:r>
      <w:r>
        <w:rPr>
          <w:rFonts w:ascii="Century Gothic" w:hAnsi="Century Gothic" w:cs="Arial"/>
          <w:b/>
          <w:sz w:val="22"/>
          <w:szCs w:val="22"/>
        </w:rPr>
        <w:t xml:space="preserve"> : </w:t>
      </w:r>
      <w:r w:rsidR="00EE06BF">
        <w:rPr>
          <w:rFonts w:ascii="Century Gothic" w:hAnsi="Century Gothic" w:cs="Arial"/>
          <w:b/>
          <w:sz w:val="22"/>
          <w:szCs w:val="22"/>
        </w:rPr>
        <w:t>Responsable de traitements et délégué à la protection des données</w:t>
      </w:r>
    </w:p>
    <w:p w:rsidR="00522C0F" w:rsidRDefault="00D56288" w:rsidP="00A15BAE">
      <w:pPr>
        <w:widowControl w:val="0"/>
        <w:autoSpaceDE w:val="0"/>
        <w:autoSpaceDN w:val="0"/>
        <w:adjustRightInd w:val="0"/>
        <w:spacing w:after="120"/>
        <w:jc w:val="both"/>
        <w:rPr>
          <w:rFonts w:ascii="Century Gothic" w:hAnsi="Century Gothic" w:cs="Arial"/>
          <w:color w:val="222222"/>
          <w:sz w:val="22"/>
          <w:szCs w:val="22"/>
        </w:rPr>
      </w:pPr>
      <w:r w:rsidRPr="00A15BAE">
        <w:rPr>
          <w:rFonts w:ascii="Century Gothic" w:hAnsi="Century Gothic" w:cs="Arial"/>
          <w:color w:val="222222"/>
          <w:sz w:val="22"/>
          <w:szCs w:val="22"/>
        </w:rPr>
        <w:t>Le</w:t>
      </w:r>
      <w:r w:rsidR="00EE06BF">
        <w:rPr>
          <w:rFonts w:ascii="Century Gothic" w:hAnsi="Century Gothic" w:cs="Arial"/>
          <w:color w:val="222222"/>
          <w:sz w:val="22"/>
          <w:szCs w:val="22"/>
        </w:rPr>
        <w:t xml:space="preserve"> </w:t>
      </w:r>
      <w:r w:rsidR="00213A20" w:rsidRPr="00213A20">
        <w:rPr>
          <w:rFonts w:ascii="Century Gothic" w:hAnsi="Century Gothic" w:cs="Arial"/>
          <w:color w:val="222222"/>
          <w:sz w:val="22"/>
          <w:szCs w:val="22"/>
          <w:shd w:val="clear" w:color="auto" w:fill="BDD6EE" w:themeFill="accent1" w:themeFillTint="66"/>
        </w:rPr>
        <w:t>[Maire/Président de …]</w:t>
      </w:r>
      <w:r w:rsidR="00EE06BF">
        <w:rPr>
          <w:rFonts w:ascii="Century Gothic" w:hAnsi="Century Gothic" w:cs="Arial"/>
          <w:color w:val="222222"/>
          <w:sz w:val="22"/>
          <w:szCs w:val="22"/>
        </w:rPr>
        <w:t xml:space="preserve"> est responsable des traitements de données à caractère personnel. Le</w:t>
      </w:r>
      <w:r w:rsidRPr="00A15BAE">
        <w:rPr>
          <w:rFonts w:ascii="Century Gothic" w:hAnsi="Century Gothic" w:cs="Arial"/>
          <w:color w:val="222222"/>
          <w:sz w:val="22"/>
          <w:szCs w:val="22"/>
        </w:rPr>
        <w:t xml:space="preserve"> responsable de traitement</w:t>
      </w:r>
      <w:r w:rsidR="00EE06BF">
        <w:rPr>
          <w:rFonts w:ascii="Century Gothic" w:hAnsi="Century Gothic" w:cs="Arial"/>
          <w:color w:val="222222"/>
          <w:sz w:val="22"/>
          <w:szCs w:val="22"/>
        </w:rPr>
        <w:t>s</w:t>
      </w:r>
      <w:r w:rsidRPr="00A15BAE">
        <w:rPr>
          <w:rFonts w:ascii="Century Gothic" w:hAnsi="Century Gothic" w:cs="Arial"/>
          <w:color w:val="222222"/>
          <w:sz w:val="22"/>
          <w:szCs w:val="22"/>
        </w:rPr>
        <w:t xml:space="preserve"> veille au </w:t>
      </w:r>
      <w:r w:rsidR="00A15BAE">
        <w:rPr>
          <w:rFonts w:ascii="Century Gothic" w:hAnsi="Century Gothic" w:cs="Arial"/>
          <w:color w:val="222222"/>
          <w:sz w:val="22"/>
          <w:szCs w:val="22"/>
        </w:rPr>
        <w:t xml:space="preserve">sein </w:t>
      </w:r>
      <w:r w:rsidR="00213A20">
        <w:rPr>
          <w:rFonts w:ascii="Century Gothic" w:hAnsi="Century Gothic" w:cs="Arial"/>
          <w:color w:val="222222"/>
          <w:sz w:val="22"/>
          <w:szCs w:val="22"/>
        </w:rPr>
        <w:t xml:space="preserve">de </w:t>
      </w:r>
      <w:r w:rsidR="00213A20" w:rsidRPr="00213A20">
        <w:rPr>
          <w:rFonts w:ascii="Century Gothic" w:hAnsi="Century Gothic" w:cs="Arial"/>
          <w:color w:val="222222"/>
          <w:sz w:val="22"/>
          <w:szCs w:val="22"/>
          <w:shd w:val="clear" w:color="auto" w:fill="BDD6EE" w:themeFill="accent1" w:themeFillTint="66"/>
        </w:rPr>
        <w:t>la collectivité/de l’établissement</w:t>
      </w:r>
      <w:r w:rsidRPr="00A15BAE">
        <w:rPr>
          <w:rFonts w:ascii="Century Gothic" w:hAnsi="Century Gothic" w:cs="Arial"/>
          <w:color w:val="222222"/>
          <w:sz w:val="22"/>
          <w:szCs w:val="22"/>
        </w:rPr>
        <w:t xml:space="preserve"> à la bonne application des règles issues du règlement général</w:t>
      </w:r>
      <w:r w:rsidR="00522C0F">
        <w:rPr>
          <w:rFonts w:ascii="Century Gothic" w:hAnsi="Century Gothic" w:cs="Arial"/>
          <w:color w:val="222222"/>
          <w:sz w:val="22"/>
          <w:szCs w:val="22"/>
        </w:rPr>
        <w:t xml:space="preserve"> sur la protection des données.</w:t>
      </w:r>
    </w:p>
    <w:p w:rsidR="00A15BAE" w:rsidRPr="00FD005D" w:rsidRDefault="00D56288" w:rsidP="00A15BAE">
      <w:pPr>
        <w:widowControl w:val="0"/>
        <w:autoSpaceDE w:val="0"/>
        <w:autoSpaceDN w:val="0"/>
        <w:adjustRightInd w:val="0"/>
        <w:spacing w:after="120"/>
        <w:jc w:val="both"/>
        <w:rPr>
          <w:rFonts w:ascii="Century Gothic" w:hAnsi="Century Gothic" w:cs="Arial"/>
          <w:color w:val="222222"/>
          <w:sz w:val="22"/>
          <w:szCs w:val="22"/>
        </w:rPr>
      </w:pPr>
      <w:r w:rsidRPr="00A15BAE">
        <w:rPr>
          <w:rFonts w:ascii="Century Gothic" w:hAnsi="Century Gothic" w:cs="Arial"/>
          <w:color w:val="222222"/>
          <w:sz w:val="22"/>
          <w:szCs w:val="22"/>
        </w:rPr>
        <w:t>Un délégué à la protection des données a été désigné afin de piloter la bonne application de ces règles.</w:t>
      </w:r>
    </w:p>
    <w:p w:rsidR="00A15BAE" w:rsidRPr="00CF4BA2" w:rsidRDefault="00213A20" w:rsidP="00CF4BA2">
      <w:pPr>
        <w:spacing w:before="240" w:after="240"/>
        <w:jc w:val="both"/>
        <w:textAlignment w:val="baseline"/>
        <w:rPr>
          <w:rFonts w:ascii="Century Gothic" w:hAnsi="Century Gothic" w:cs="Arial"/>
          <w:color w:val="2E74B5"/>
          <w:szCs w:val="22"/>
        </w:rPr>
      </w:pPr>
      <w:r>
        <w:rPr>
          <w:rFonts w:ascii="Century Gothic" w:hAnsi="Century Gothic" w:cs="Arial"/>
          <w:b/>
          <w:bCs/>
          <w:color w:val="2E74B5"/>
          <w:szCs w:val="22"/>
          <w:bdr w:val="none" w:sz="0" w:space="0" w:color="auto" w:frame="1"/>
        </w:rPr>
        <w:t>I</w:t>
      </w:r>
      <w:r w:rsidR="00CF4BA2" w:rsidRPr="00CF4BA2">
        <w:rPr>
          <w:rFonts w:ascii="Century Gothic" w:hAnsi="Century Gothic" w:cs="Arial"/>
          <w:b/>
          <w:bCs/>
          <w:color w:val="2E74B5"/>
          <w:szCs w:val="22"/>
          <w:bdr w:val="none" w:sz="0" w:space="0" w:color="auto" w:frame="1"/>
        </w:rPr>
        <w:t>Ième PARTIE : REPONSES AUX DEMANDES D’USAGE DES DROITS DES PERSONNES CONCERNEES PAR LES TRAITEMENTS DE DONNEES</w:t>
      </w:r>
    </w:p>
    <w:p w:rsidR="00CF4BA2" w:rsidRPr="00CF4BA2" w:rsidRDefault="00CF4BA2" w:rsidP="00CF4BA2">
      <w:pPr>
        <w:spacing w:before="240" w:after="240"/>
        <w:jc w:val="both"/>
        <w:rPr>
          <w:rFonts w:ascii="Century Gothic" w:hAnsi="Century Gothic" w:cs="Arial"/>
          <w:b/>
          <w:color w:val="222222"/>
          <w:sz w:val="22"/>
          <w:szCs w:val="22"/>
        </w:rPr>
      </w:pPr>
      <w:r>
        <w:rPr>
          <w:rFonts w:ascii="Century Gothic" w:hAnsi="Century Gothic" w:cs="Arial"/>
          <w:b/>
          <w:color w:val="222222"/>
          <w:sz w:val="22"/>
          <w:szCs w:val="22"/>
        </w:rPr>
        <w:t xml:space="preserve">Article </w:t>
      </w:r>
      <w:r w:rsidR="00213A20">
        <w:rPr>
          <w:rFonts w:ascii="Century Gothic" w:hAnsi="Century Gothic" w:cs="Arial"/>
          <w:b/>
          <w:color w:val="222222"/>
          <w:sz w:val="22"/>
          <w:szCs w:val="22"/>
        </w:rPr>
        <w:t>4</w:t>
      </w:r>
      <w:r>
        <w:rPr>
          <w:rFonts w:ascii="Century Gothic" w:hAnsi="Century Gothic" w:cs="Arial"/>
          <w:b/>
          <w:color w:val="222222"/>
          <w:sz w:val="22"/>
          <w:szCs w:val="22"/>
        </w:rPr>
        <w:t> : Droits des personnes concernées par les traitements de données</w:t>
      </w:r>
    </w:p>
    <w:p w:rsidR="00A15BAE" w:rsidRDefault="00A15BAE" w:rsidP="00A15BAE">
      <w:pPr>
        <w:spacing w:after="120"/>
        <w:jc w:val="both"/>
        <w:rPr>
          <w:rFonts w:ascii="Century Gothic" w:hAnsi="Century Gothic" w:cs="Arial"/>
          <w:color w:val="222222"/>
          <w:sz w:val="22"/>
          <w:szCs w:val="22"/>
        </w:rPr>
      </w:pPr>
      <w:r>
        <w:rPr>
          <w:rFonts w:ascii="Century Gothic" w:hAnsi="Century Gothic" w:cs="Arial"/>
          <w:color w:val="222222"/>
          <w:sz w:val="22"/>
          <w:szCs w:val="22"/>
        </w:rPr>
        <w:t>Les personnes concernées par les traitements de données personnelles</w:t>
      </w:r>
      <w:r w:rsidR="00CF4BA2">
        <w:rPr>
          <w:rFonts w:ascii="Century Gothic" w:hAnsi="Century Gothic" w:cs="Arial"/>
          <w:color w:val="222222"/>
          <w:sz w:val="22"/>
          <w:szCs w:val="22"/>
        </w:rPr>
        <w:t>, quels qu’ils soient,</w:t>
      </w:r>
      <w:r>
        <w:rPr>
          <w:rFonts w:ascii="Century Gothic" w:hAnsi="Century Gothic" w:cs="Arial"/>
          <w:color w:val="222222"/>
          <w:sz w:val="22"/>
          <w:szCs w:val="22"/>
        </w:rPr>
        <w:t xml:space="preserve"> disposent de droits leur permettant de garder la maîtrise des informations les concernant. Ainsi, toute personne peut :</w:t>
      </w:r>
    </w:p>
    <w:p w:rsidR="00A15BAE" w:rsidRDefault="00A15BAE" w:rsidP="00A15BAE">
      <w:pPr>
        <w:pStyle w:val="Paragraphedeliste"/>
        <w:numPr>
          <w:ilvl w:val="0"/>
          <w:numId w:val="1"/>
        </w:numPr>
        <w:spacing w:after="120"/>
        <w:jc w:val="both"/>
        <w:rPr>
          <w:rFonts w:ascii="Century Gothic" w:hAnsi="Century Gothic" w:cs="Arial"/>
          <w:color w:val="222222"/>
          <w:sz w:val="22"/>
          <w:szCs w:val="22"/>
        </w:rPr>
      </w:pPr>
      <w:r>
        <w:rPr>
          <w:rFonts w:ascii="Century Gothic" w:hAnsi="Century Gothic" w:cs="Arial"/>
          <w:color w:val="222222"/>
          <w:sz w:val="22"/>
          <w:szCs w:val="22"/>
        </w:rPr>
        <w:t>Accéder à l’ensemble des informations la concernant ;</w:t>
      </w:r>
    </w:p>
    <w:p w:rsidR="00A15BAE" w:rsidRDefault="00A15BAE" w:rsidP="00A15BAE">
      <w:pPr>
        <w:pStyle w:val="Paragraphedeliste"/>
        <w:numPr>
          <w:ilvl w:val="0"/>
          <w:numId w:val="1"/>
        </w:numPr>
        <w:spacing w:after="120"/>
        <w:jc w:val="both"/>
        <w:rPr>
          <w:rFonts w:ascii="Century Gothic" w:hAnsi="Century Gothic" w:cs="Arial"/>
          <w:color w:val="222222"/>
          <w:sz w:val="22"/>
          <w:szCs w:val="22"/>
        </w:rPr>
      </w:pPr>
      <w:r>
        <w:rPr>
          <w:rFonts w:ascii="Century Gothic" w:hAnsi="Century Gothic" w:cs="Arial"/>
          <w:color w:val="222222"/>
          <w:sz w:val="22"/>
          <w:szCs w:val="22"/>
        </w:rPr>
        <w:t>Connaître l’origine de ces informations :</w:t>
      </w:r>
    </w:p>
    <w:p w:rsidR="00A15BAE" w:rsidRDefault="00A15BAE" w:rsidP="00A15BAE">
      <w:pPr>
        <w:pStyle w:val="Paragraphedeliste"/>
        <w:numPr>
          <w:ilvl w:val="0"/>
          <w:numId w:val="1"/>
        </w:numPr>
        <w:spacing w:after="120"/>
        <w:jc w:val="both"/>
        <w:rPr>
          <w:rFonts w:ascii="Century Gothic" w:hAnsi="Century Gothic" w:cs="Arial"/>
          <w:color w:val="222222"/>
          <w:sz w:val="22"/>
          <w:szCs w:val="22"/>
        </w:rPr>
      </w:pPr>
      <w:r>
        <w:rPr>
          <w:rFonts w:ascii="Century Gothic" w:hAnsi="Century Gothic" w:cs="Arial"/>
          <w:color w:val="222222"/>
          <w:sz w:val="22"/>
          <w:szCs w:val="22"/>
        </w:rPr>
        <w:t>En obtenir une copie ;</w:t>
      </w:r>
    </w:p>
    <w:p w:rsidR="00EE06BF" w:rsidRDefault="00A15BAE" w:rsidP="00A15BAE">
      <w:pPr>
        <w:pStyle w:val="Paragraphedeliste"/>
        <w:numPr>
          <w:ilvl w:val="0"/>
          <w:numId w:val="1"/>
        </w:numPr>
        <w:spacing w:after="120"/>
        <w:jc w:val="both"/>
        <w:rPr>
          <w:rFonts w:ascii="Century Gothic" w:hAnsi="Century Gothic" w:cs="Arial"/>
          <w:color w:val="222222"/>
          <w:sz w:val="22"/>
          <w:szCs w:val="22"/>
        </w:rPr>
      </w:pPr>
      <w:r>
        <w:rPr>
          <w:rFonts w:ascii="Century Gothic" w:hAnsi="Century Gothic" w:cs="Arial"/>
          <w:color w:val="222222"/>
          <w:sz w:val="22"/>
          <w:szCs w:val="22"/>
        </w:rPr>
        <w:t>Exiger que ses données soient rectifiées, complétées, mises à jour ou, selon les cas, supprimées.</w:t>
      </w:r>
    </w:p>
    <w:p w:rsidR="00CF4BA2" w:rsidRPr="00CF4BA2" w:rsidRDefault="00CF4BA2" w:rsidP="00CF4BA2">
      <w:pPr>
        <w:spacing w:after="120"/>
        <w:jc w:val="both"/>
        <w:rPr>
          <w:rFonts w:ascii="Century Gothic" w:hAnsi="Century Gothic" w:cs="Arial"/>
          <w:color w:val="222222"/>
          <w:sz w:val="22"/>
          <w:szCs w:val="22"/>
        </w:rPr>
      </w:pPr>
    </w:p>
    <w:p w:rsidR="00A15BAE" w:rsidRPr="00A15BAE" w:rsidRDefault="00EE06BF" w:rsidP="00CF4BA2">
      <w:pPr>
        <w:spacing w:before="240" w:after="240"/>
        <w:jc w:val="both"/>
        <w:rPr>
          <w:rFonts w:ascii="Century Gothic" w:hAnsi="Century Gothic" w:cs="Arial"/>
          <w:b/>
          <w:color w:val="222222"/>
          <w:sz w:val="22"/>
          <w:szCs w:val="22"/>
        </w:rPr>
      </w:pPr>
      <w:r>
        <w:rPr>
          <w:rFonts w:ascii="Century Gothic" w:hAnsi="Century Gothic" w:cs="Arial"/>
          <w:b/>
          <w:color w:val="222222"/>
          <w:sz w:val="22"/>
          <w:szCs w:val="22"/>
        </w:rPr>
        <w:lastRenderedPageBreak/>
        <w:t>A</w:t>
      </w:r>
      <w:r w:rsidR="00CF4BA2">
        <w:rPr>
          <w:rFonts w:ascii="Century Gothic" w:hAnsi="Century Gothic" w:cs="Arial"/>
          <w:b/>
          <w:color w:val="222222"/>
          <w:sz w:val="22"/>
          <w:szCs w:val="22"/>
        </w:rPr>
        <w:t xml:space="preserve">rticle </w:t>
      </w:r>
      <w:r w:rsidR="00213A20">
        <w:rPr>
          <w:rFonts w:ascii="Century Gothic" w:hAnsi="Century Gothic" w:cs="Arial"/>
          <w:b/>
          <w:color w:val="222222"/>
          <w:sz w:val="22"/>
          <w:szCs w:val="22"/>
        </w:rPr>
        <w:t>5</w:t>
      </w:r>
      <w:r>
        <w:rPr>
          <w:rFonts w:ascii="Century Gothic" w:hAnsi="Century Gothic" w:cs="Arial"/>
          <w:b/>
          <w:color w:val="222222"/>
          <w:sz w:val="22"/>
          <w:szCs w:val="22"/>
        </w:rPr>
        <w:t> : Droit à l’information des personnes concernées par les traitements de données</w:t>
      </w:r>
    </w:p>
    <w:p w:rsidR="00A15BAE" w:rsidRDefault="00A15BAE" w:rsidP="00A15BAE">
      <w:pPr>
        <w:spacing w:after="120"/>
        <w:jc w:val="both"/>
        <w:rPr>
          <w:rFonts w:ascii="Century Gothic" w:hAnsi="Century Gothic" w:cs="Arial"/>
          <w:color w:val="222222"/>
          <w:sz w:val="22"/>
          <w:szCs w:val="22"/>
        </w:rPr>
      </w:pPr>
      <w:r>
        <w:rPr>
          <w:rFonts w:ascii="Century Gothic" w:hAnsi="Century Gothic" w:cs="Arial"/>
          <w:color w:val="222222"/>
          <w:sz w:val="22"/>
          <w:szCs w:val="22"/>
        </w:rPr>
        <w:t>Les agents ont l’obligation d’informer toute personne du recueil de ses données à caractère personnel, de ses droits ainsi que des moyens par lesquels cette personne pourra user de ses droits sur ces données.</w:t>
      </w:r>
    </w:p>
    <w:p w:rsidR="00A15BAE" w:rsidRPr="00A15BAE" w:rsidRDefault="00EE06BF" w:rsidP="00CF4BA2">
      <w:pPr>
        <w:spacing w:before="240" w:after="240"/>
        <w:jc w:val="both"/>
        <w:rPr>
          <w:rFonts w:ascii="Century Gothic" w:hAnsi="Century Gothic" w:cs="Arial"/>
          <w:b/>
          <w:color w:val="222222"/>
          <w:sz w:val="22"/>
          <w:szCs w:val="22"/>
        </w:rPr>
      </w:pPr>
      <w:r>
        <w:rPr>
          <w:rFonts w:ascii="Century Gothic" w:hAnsi="Century Gothic" w:cs="Arial"/>
          <w:b/>
          <w:color w:val="222222"/>
          <w:sz w:val="22"/>
          <w:szCs w:val="22"/>
        </w:rPr>
        <w:t xml:space="preserve">Article </w:t>
      </w:r>
      <w:r w:rsidR="00213A20">
        <w:rPr>
          <w:rFonts w:ascii="Century Gothic" w:hAnsi="Century Gothic" w:cs="Arial"/>
          <w:b/>
          <w:color w:val="222222"/>
          <w:sz w:val="22"/>
          <w:szCs w:val="22"/>
        </w:rPr>
        <w:t>6</w:t>
      </w:r>
      <w:r>
        <w:rPr>
          <w:rFonts w:ascii="Century Gothic" w:hAnsi="Century Gothic" w:cs="Arial"/>
          <w:b/>
          <w:color w:val="222222"/>
          <w:sz w:val="22"/>
          <w:szCs w:val="22"/>
        </w:rPr>
        <w:t> : Demandes d’usage des droits des personnes</w:t>
      </w:r>
    </w:p>
    <w:p w:rsidR="00A15BAE" w:rsidRDefault="00A15BAE" w:rsidP="00A15BAE">
      <w:pPr>
        <w:spacing w:after="120"/>
        <w:jc w:val="both"/>
        <w:rPr>
          <w:rFonts w:ascii="Century Gothic" w:hAnsi="Century Gothic" w:cs="Arial"/>
          <w:color w:val="222222"/>
          <w:sz w:val="22"/>
          <w:szCs w:val="22"/>
        </w:rPr>
      </w:pPr>
      <w:r>
        <w:rPr>
          <w:rFonts w:ascii="Century Gothic" w:hAnsi="Century Gothic" w:cs="Arial"/>
          <w:color w:val="222222"/>
          <w:sz w:val="22"/>
          <w:szCs w:val="22"/>
        </w:rPr>
        <w:t>Les personnes concernées par les traitements de données à caractère personnel peuvent faire usage de leurs droits sur simple demande, soit par écrit, soit en personne.</w:t>
      </w:r>
    </w:p>
    <w:p w:rsidR="00450372" w:rsidRDefault="00450372" w:rsidP="00A15BAE">
      <w:pPr>
        <w:spacing w:after="120"/>
        <w:jc w:val="both"/>
        <w:rPr>
          <w:rFonts w:ascii="Century Gothic" w:hAnsi="Century Gothic" w:cs="Arial"/>
          <w:color w:val="222222"/>
          <w:sz w:val="22"/>
          <w:szCs w:val="22"/>
        </w:rPr>
      </w:pPr>
      <w:r>
        <w:rPr>
          <w:rFonts w:ascii="Century Gothic" w:hAnsi="Century Gothic" w:cs="Arial"/>
          <w:color w:val="222222"/>
          <w:sz w:val="22"/>
          <w:szCs w:val="22"/>
        </w:rPr>
        <w:t>Les agents recevant une telle demande ont pour obligation de contrôler par tous moyens de l’identité du demandeur.</w:t>
      </w:r>
    </w:p>
    <w:p w:rsidR="00450372" w:rsidRPr="00450372" w:rsidRDefault="00CF4BA2" w:rsidP="00CF4BA2">
      <w:pPr>
        <w:spacing w:before="240" w:after="240"/>
        <w:jc w:val="both"/>
        <w:rPr>
          <w:rFonts w:ascii="Century Gothic" w:hAnsi="Century Gothic" w:cs="Arial"/>
          <w:b/>
          <w:color w:val="222222"/>
          <w:sz w:val="22"/>
          <w:szCs w:val="22"/>
        </w:rPr>
      </w:pPr>
      <w:r>
        <w:rPr>
          <w:rFonts w:ascii="Century Gothic" w:hAnsi="Century Gothic" w:cs="Arial"/>
          <w:b/>
          <w:color w:val="222222"/>
          <w:sz w:val="22"/>
          <w:szCs w:val="22"/>
        </w:rPr>
        <w:t xml:space="preserve">Article </w:t>
      </w:r>
      <w:r w:rsidR="00213A20">
        <w:rPr>
          <w:rFonts w:ascii="Century Gothic" w:hAnsi="Century Gothic" w:cs="Arial"/>
          <w:b/>
          <w:color w:val="222222"/>
          <w:sz w:val="22"/>
          <w:szCs w:val="22"/>
        </w:rPr>
        <w:t>7</w:t>
      </w:r>
      <w:r w:rsidR="00EE06BF">
        <w:rPr>
          <w:rFonts w:ascii="Century Gothic" w:hAnsi="Century Gothic" w:cs="Arial"/>
          <w:b/>
          <w:color w:val="222222"/>
          <w:sz w:val="22"/>
          <w:szCs w:val="22"/>
        </w:rPr>
        <w:t> : Instruction des demandes d’usage des droits des personnes</w:t>
      </w:r>
    </w:p>
    <w:p w:rsidR="00450372" w:rsidRDefault="00450372" w:rsidP="00A15BAE">
      <w:pPr>
        <w:spacing w:after="120"/>
        <w:jc w:val="both"/>
        <w:rPr>
          <w:rFonts w:ascii="Century Gothic" w:hAnsi="Century Gothic" w:cs="Arial"/>
          <w:color w:val="222222"/>
          <w:sz w:val="22"/>
          <w:szCs w:val="22"/>
        </w:rPr>
      </w:pPr>
      <w:r>
        <w:rPr>
          <w:rFonts w:ascii="Century Gothic" w:hAnsi="Century Gothic" w:cs="Arial"/>
          <w:color w:val="222222"/>
          <w:sz w:val="22"/>
          <w:szCs w:val="22"/>
        </w:rPr>
        <w:t>Les agents recevant une demande d’usage des droits des personnes concernées par un traitement de données ont pour obligation de transmettre cette demande au service chargé de la mise en œuvre du traitement.</w:t>
      </w:r>
    </w:p>
    <w:p w:rsidR="00450372" w:rsidRDefault="00450372" w:rsidP="00A15BAE">
      <w:pPr>
        <w:spacing w:after="120"/>
        <w:jc w:val="both"/>
        <w:rPr>
          <w:rFonts w:ascii="Century Gothic" w:hAnsi="Century Gothic" w:cs="Arial"/>
          <w:color w:val="222222"/>
          <w:sz w:val="22"/>
          <w:szCs w:val="22"/>
        </w:rPr>
      </w:pPr>
      <w:r>
        <w:rPr>
          <w:rFonts w:ascii="Century Gothic" w:hAnsi="Century Gothic" w:cs="Arial"/>
          <w:color w:val="222222"/>
          <w:sz w:val="22"/>
          <w:szCs w:val="22"/>
        </w:rPr>
        <w:t>Ce service aura alors pour obligation de répondre à cette demande dans un délai maximum d’un mois à compter de la date de présentation de la demande.</w:t>
      </w:r>
    </w:p>
    <w:p w:rsidR="00450372" w:rsidRDefault="00450372" w:rsidP="00A15BAE">
      <w:pPr>
        <w:spacing w:after="120"/>
        <w:jc w:val="both"/>
        <w:rPr>
          <w:rFonts w:ascii="Century Gothic" w:hAnsi="Century Gothic" w:cs="Arial"/>
          <w:color w:val="222222"/>
          <w:sz w:val="22"/>
          <w:szCs w:val="22"/>
        </w:rPr>
      </w:pPr>
      <w:r>
        <w:rPr>
          <w:rFonts w:ascii="Century Gothic" w:hAnsi="Century Gothic" w:cs="Arial"/>
          <w:color w:val="222222"/>
          <w:sz w:val="22"/>
          <w:szCs w:val="22"/>
        </w:rPr>
        <w:t>A défaut de pouvoir identifier le service chargé de la mise en œuvre du traitement, les agents peuvent transmettre la demande d’usage des droits de la personne concernée par le traitement au délégué à la protection des données qui sera alors chargé de procéder à son instruction dans les mêmes délais et selon la même procédure.</w:t>
      </w:r>
    </w:p>
    <w:p w:rsidR="00450372" w:rsidRDefault="00450372" w:rsidP="00A15BAE">
      <w:pPr>
        <w:spacing w:after="120"/>
        <w:jc w:val="both"/>
        <w:rPr>
          <w:rFonts w:ascii="Century Gothic" w:hAnsi="Century Gothic" w:cs="Arial"/>
          <w:color w:val="222222"/>
          <w:sz w:val="22"/>
          <w:szCs w:val="22"/>
        </w:rPr>
      </w:pPr>
      <w:r>
        <w:rPr>
          <w:rFonts w:ascii="Century Gothic" w:hAnsi="Century Gothic" w:cs="Arial"/>
          <w:color w:val="222222"/>
          <w:sz w:val="22"/>
          <w:szCs w:val="22"/>
        </w:rPr>
        <w:t>La réponse devra se faire de manière compréhensible. Toute abréviation, sigle ou code devra faire l’objet de précisions, notamment aux moyens d’un lexique ou d’une notice explicative.</w:t>
      </w:r>
    </w:p>
    <w:p w:rsidR="00450372" w:rsidRPr="00450372" w:rsidRDefault="00CF4BA2" w:rsidP="00CF4BA2">
      <w:pPr>
        <w:spacing w:before="240" w:after="240"/>
        <w:jc w:val="both"/>
        <w:rPr>
          <w:rFonts w:ascii="Century Gothic" w:hAnsi="Century Gothic" w:cs="Arial"/>
          <w:b/>
          <w:color w:val="222222"/>
          <w:sz w:val="22"/>
          <w:szCs w:val="22"/>
        </w:rPr>
      </w:pPr>
      <w:r>
        <w:rPr>
          <w:rFonts w:ascii="Century Gothic" w:hAnsi="Century Gothic" w:cs="Arial"/>
          <w:b/>
          <w:color w:val="222222"/>
          <w:sz w:val="22"/>
          <w:szCs w:val="22"/>
        </w:rPr>
        <w:t xml:space="preserve">Article </w:t>
      </w:r>
      <w:r w:rsidR="00213A20">
        <w:rPr>
          <w:rFonts w:ascii="Century Gothic" w:hAnsi="Century Gothic" w:cs="Arial"/>
          <w:b/>
          <w:color w:val="222222"/>
          <w:sz w:val="22"/>
          <w:szCs w:val="22"/>
        </w:rPr>
        <w:t>8</w:t>
      </w:r>
      <w:r w:rsidR="00EE06BF">
        <w:rPr>
          <w:rFonts w:ascii="Century Gothic" w:hAnsi="Century Gothic" w:cs="Arial"/>
          <w:b/>
          <w:color w:val="222222"/>
          <w:sz w:val="22"/>
          <w:szCs w:val="22"/>
        </w:rPr>
        <w:t> : Refus de la demande d’usage des droits des personnes</w:t>
      </w:r>
    </w:p>
    <w:p w:rsidR="00450372" w:rsidRDefault="00450372" w:rsidP="00A15BAE">
      <w:pPr>
        <w:spacing w:after="120"/>
        <w:jc w:val="both"/>
        <w:rPr>
          <w:rFonts w:ascii="Century Gothic" w:hAnsi="Century Gothic" w:cs="Arial"/>
          <w:color w:val="222222"/>
          <w:sz w:val="22"/>
          <w:szCs w:val="22"/>
        </w:rPr>
      </w:pPr>
      <w:r>
        <w:rPr>
          <w:rFonts w:ascii="Century Gothic" w:hAnsi="Century Gothic" w:cs="Arial"/>
          <w:color w:val="222222"/>
          <w:sz w:val="22"/>
          <w:szCs w:val="22"/>
        </w:rPr>
        <w:t>La demande pourra être refusée pour des motifs légitimes, notamment le respect d’une obligation légale.</w:t>
      </w:r>
      <w:r w:rsidR="000407AC">
        <w:rPr>
          <w:rFonts w:ascii="Century Gothic" w:hAnsi="Century Gothic" w:cs="Arial"/>
          <w:color w:val="222222"/>
          <w:sz w:val="22"/>
          <w:szCs w:val="22"/>
        </w:rPr>
        <w:t xml:space="preserve"> Peuvent également être refusées les demandes manifestement abusives, notamment par leur nombre, leur caractère répétitif ou systématique.</w:t>
      </w:r>
    </w:p>
    <w:p w:rsidR="000407AC" w:rsidRDefault="00450372" w:rsidP="000407AC">
      <w:pPr>
        <w:spacing w:after="120"/>
        <w:jc w:val="both"/>
        <w:rPr>
          <w:rFonts w:ascii="Century Gothic" w:hAnsi="Century Gothic" w:cs="Arial"/>
          <w:color w:val="222222"/>
          <w:sz w:val="22"/>
          <w:szCs w:val="22"/>
        </w:rPr>
      </w:pPr>
      <w:r>
        <w:rPr>
          <w:rFonts w:ascii="Century Gothic" w:hAnsi="Century Gothic" w:cs="Arial"/>
          <w:color w:val="222222"/>
          <w:sz w:val="22"/>
          <w:szCs w:val="22"/>
        </w:rPr>
        <w:t>Tout refus devra alors faire l’objet d’une justification</w:t>
      </w:r>
      <w:r w:rsidR="000407AC">
        <w:rPr>
          <w:rFonts w:ascii="Century Gothic" w:hAnsi="Century Gothic" w:cs="Arial"/>
          <w:color w:val="222222"/>
          <w:sz w:val="22"/>
          <w:szCs w:val="22"/>
        </w:rPr>
        <w:t>. Le demandeur devra être également informé des voies et délais de recours permettant de contester cette décision.</w:t>
      </w:r>
    </w:p>
    <w:p w:rsidR="000407AC" w:rsidRPr="000407AC" w:rsidRDefault="00213A20" w:rsidP="000407AC">
      <w:pPr>
        <w:spacing w:after="120"/>
        <w:jc w:val="both"/>
        <w:rPr>
          <w:rFonts w:ascii="Century Gothic" w:hAnsi="Century Gothic" w:cs="Arial"/>
          <w:b/>
          <w:color w:val="222222"/>
          <w:sz w:val="22"/>
          <w:szCs w:val="22"/>
        </w:rPr>
      </w:pPr>
      <w:r>
        <w:rPr>
          <w:rFonts w:ascii="Century Gothic" w:hAnsi="Century Gothic" w:cs="Arial"/>
          <w:color w:val="222222"/>
          <w:sz w:val="22"/>
          <w:szCs w:val="22"/>
        </w:rPr>
        <w:t xml:space="preserve">Si </w:t>
      </w:r>
      <w:r w:rsidRPr="00213A20">
        <w:rPr>
          <w:rFonts w:ascii="Century Gothic" w:hAnsi="Century Gothic" w:cs="Arial"/>
          <w:color w:val="222222"/>
          <w:sz w:val="22"/>
          <w:szCs w:val="22"/>
          <w:shd w:val="clear" w:color="auto" w:fill="BDD6EE" w:themeFill="accent1" w:themeFillTint="66"/>
        </w:rPr>
        <w:t>la collectivité/l’établissement</w:t>
      </w:r>
      <w:r>
        <w:rPr>
          <w:rFonts w:ascii="Century Gothic" w:hAnsi="Century Gothic" w:cs="Arial"/>
          <w:color w:val="222222"/>
          <w:sz w:val="22"/>
          <w:szCs w:val="22"/>
        </w:rPr>
        <w:t xml:space="preserve"> </w:t>
      </w:r>
      <w:r w:rsidR="000407AC">
        <w:rPr>
          <w:rFonts w:ascii="Century Gothic" w:hAnsi="Century Gothic" w:cs="Arial"/>
          <w:color w:val="222222"/>
          <w:sz w:val="22"/>
          <w:szCs w:val="22"/>
        </w:rPr>
        <w:t>ne dispose d’aucune donnée sur la personne qui exerce son droit d’accès, une réponse précisant ce fait devra être apportée dans le délai d’un mois.</w:t>
      </w:r>
    </w:p>
    <w:p w:rsidR="000407AC" w:rsidRPr="000A2F5B" w:rsidRDefault="00CF4BA2" w:rsidP="00CF4BA2">
      <w:pPr>
        <w:spacing w:before="240" w:after="240"/>
        <w:jc w:val="both"/>
        <w:rPr>
          <w:rFonts w:ascii="Century Gothic" w:hAnsi="Century Gothic" w:cs="Arial"/>
          <w:b/>
          <w:color w:val="222222"/>
          <w:sz w:val="22"/>
          <w:szCs w:val="22"/>
        </w:rPr>
      </w:pPr>
      <w:r>
        <w:rPr>
          <w:rFonts w:ascii="Century Gothic" w:hAnsi="Century Gothic" w:cs="Arial"/>
          <w:b/>
          <w:color w:val="222222"/>
          <w:sz w:val="22"/>
          <w:szCs w:val="22"/>
        </w:rPr>
        <w:t xml:space="preserve">Article </w:t>
      </w:r>
      <w:r w:rsidR="00213A20">
        <w:rPr>
          <w:rFonts w:ascii="Century Gothic" w:hAnsi="Century Gothic" w:cs="Arial"/>
          <w:b/>
          <w:color w:val="222222"/>
          <w:sz w:val="22"/>
          <w:szCs w:val="22"/>
        </w:rPr>
        <w:t>9</w:t>
      </w:r>
      <w:r w:rsidR="00EE06BF">
        <w:rPr>
          <w:rFonts w:ascii="Century Gothic" w:hAnsi="Century Gothic" w:cs="Arial"/>
          <w:b/>
          <w:color w:val="222222"/>
          <w:sz w:val="22"/>
          <w:szCs w:val="22"/>
        </w:rPr>
        <w:t> : Réponses aux demandes d’usage des droits des personnes</w:t>
      </w:r>
    </w:p>
    <w:p w:rsidR="000A2F5B" w:rsidRDefault="000A2F5B" w:rsidP="00A15BAE">
      <w:pPr>
        <w:spacing w:after="120"/>
        <w:jc w:val="both"/>
        <w:rPr>
          <w:rFonts w:ascii="Century Gothic" w:hAnsi="Century Gothic" w:cs="Arial"/>
          <w:color w:val="222222"/>
          <w:sz w:val="22"/>
          <w:szCs w:val="22"/>
        </w:rPr>
      </w:pPr>
      <w:r>
        <w:rPr>
          <w:rFonts w:ascii="Century Gothic" w:hAnsi="Century Gothic" w:cs="Arial"/>
          <w:color w:val="222222"/>
          <w:sz w:val="22"/>
          <w:szCs w:val="22"/>
        </w:rPr>
        <w:t>Toute demande et toute réponse devront faire l’objet d’une traçabilité. Tout service instruisant une telle demande ou procédant à une telle réponse devra procéder à son inscription dans le registre des demandes d’usage des droits sur les données à caractère personnel.</w:t>
      </w:r>
    </w:p>
    <w:p w:rsidR="000A2F5B" w:rsidRDefault="000A2F5B" w:rsidP="00A15BAE">
      <w:pPr>
        <w:spacing w:after="120"/>
        <w:jc w:val="both"/>
        <w:rPr>
          <w:rFonts w:ascii="Century Gothic" w:hAnsi="Century Gothic" w:cs="Arial"/>
          <w:color w:val="222222"/>
          <w:sz w:val="22"/>
          <w:szCs w:val="22"/>
        </w:rPr>
      </w:pPr>
      <w:r>
        <w:rPr>
          <w:rFonts w:ascii="Century Gothic" w:hAnsi="Century Gothic" w:cs="Arial"/>
          <w:color w:val="222222"/>
          <w:sz w:val="22"/>
          <w:szCs w:val="22"/>
        </w:rPr>
        <w:t>Ce registre est tenu et mis à jour par le délégué à la protection des données.</w:t>
      </w:r>
    </w:p>
    <w:p w:rsidR="00930165" w:rsidRPr="00CF4BA2" w:rsidRDefault="00213A20" w:rsidP="00CF4BA2">
      <w:pPr>
        <w:spacing w:before="240" w:after="240"/>
        <w:jc w:val="both"/>
        <w:textAlignment w:val="baseline"/>
        <w:rPr>
          <w:rFonts w:ascii="Century Gothic" w:hAnsi="Century Gothic" w:cs="Arial"/>
          <w:color w:val="2E74B5"/>
          <w:szCs w:val="22"/>
        </w:rPr>
      </w:pPr>
      <w:r>
        <w:rPr>
          <w:rFonts w:ascii="Century Gothic" w:hAnsi="Century Gothic" w:cs="Arial"/>
          <w:b/>
          <w:bCs/>
          <w:color w:val="2E74B5"/>
          <w:szCs w:val="22"/>
          <w:bdr w:val="none" w:sz="0" w:space="0" w:color="auto" w:frame="1"/>
        </w:rPr>
        <w:lastRenderedPageBreak/>
        <w:t>I</w:t>
      </w:r>
      <w:r w:rsidR="00CF4BA2">
        <w:rPr>
          <w:rFonts w:ascii="Century Gothic" w:hAnsi="Century Gothic" w:cs="Arial"/>
          <w:b/>
          <w:bCs/>
          <w:color w:val="2E74B5"/>
          <w:szCs w:val="22"/>
          <w:bdr w:val="none" w:sz="0" w:space="0" w:color="auto" w:frame="1"/>
        </w:rPr>
        <w:t>IIème PARTIE : VIOLATIONS DE DONNEES A CARACTERE PERSONNEL</w:t>
      </w:r>
    </w:p>
    <w:p w:rsidR="00930165" w:rsidRPr="00930165" w:rsidRDefault="00CF4BA2" w:rsidP="00CF4BA2">
      <w:pPr>
        <w:spacing w:before="240" w:after="240"/>
        <w:jc w:val="both"/>
        <w:rPr>
          <w:rFonts w:ascii="Century Gothic" w:hAnsi="Century Gothic" w:cs="Arial"/>
          <w:b/>
          <w:color w:val="222222"/>
          <w:sz w:val="22"/>
          <w:szCs w:val="22"/>
        </w:rPr>
      </w:pPr>
      <w:r>
        <w:rPr>
          <w:rFonts w:ascii="Century Gothic" w:hAnsi="Century Gothic" w:cs="Arial"/>
          <w:b/>
          <w:color w:val="222222"/>
          <w:sz w:val="22"/>
          <w:szCs w:val="22"/>
        </w:rPr>
        <w:t xml:space="preserve">Article </w:t>
      </w:r>
      <w:r w:rsidR="00213A20">
        <w:rPr>
          <w:rFonts w:ascii="Century Gothic" w:hAnsi="Century Gothic" w:cs="Arial"/>
          <w:b/>
          <w:color w:val="222222"/>
          <w:sz w:val="22"/>
          <w:szCs w:val="22"/>
        </w:rPr>
        <w:t>10</w:t>
      </w:r>
      <w:r w:rsidR="00EE06BF">
        <w:rPr>
          <w:rFonts w:ascii="Century Gothic" w:hAnsi="Century Gothic" w:cs="Arial"/>
          <w:b/>
          <w:color w:val="222222"/>
          <w:sz w:val="22"/>
          <w:szCs w:val="22"/>
        </w:rPr>
        <w:t> : Constatation des violations de données</w:t>
      </w:r>
    </w:p>
    <w:p w:rsidR="00930165" w:rsidRDefault="00930165" w:rsidP="00930165">
      <w:pPr>
        <w:spacing w:after="120"/>
        <w:jc w:val="both"/>
        <w:rPr>
          <w:rFonts w:ascii="Century Gothic" w:hAnsi="Century Gothic" w:cs="Arial"/>
          <w:color w:val="222222"/>
          <w:sz w:val="22"/>
          <w:szCs w:val="22"/>
        </w:rPr>
      </w:pPr>
      <w:r>
        <w:rPr>
          <w:rFonts w:ascii="Century Gothic" w:hAnsi="Century Gothic" w:cs="Arial"/>
          <w:color w:val="222222"/>
          <w:sz w:val="22"/>
          <w:szCs w:val="22"/>
        </w:rPr>
        <w:t>Toute violation de la sécurité entraînant, de manière accidentelle ou illicite, la destruction, la perte, l’altération, la divulgation non autorisée de données à caractère personnel transmises, conservées ou traitées d’une manière, ou l’accès non autorisé à de telles données constitue une violation de données à caractère personnel.</w:t>
      </w:r>
    </w:p>
    <w:p w:rsidR="00930165" w:rsidRDefault="00930165" w:rsidP="00930165">
      <w:pPr>
        <w:spacing w:after="120"/>
        <w:jc w:val="both"/>
        <w:rPr>
          <w:rFonts w:ascii="Century Gothic" w:hAnsi="Century Gothic" w:cs="Arial"/>
          <w:color w:val="222222"/>
          <w:sz w:val="22"/>
          <w:szCs w:val="22"/>
        </w:rPr>
      </w:pPr>
      <w:r>
        <w:rPr>
          <w:rFonts w:ascii="Century Gothic" w:hAnsi="Century Gothic" w:cs="Arial"/>
          <w:color w:val="222222"/>
          <w:sz w:val="22"/>
          <w:szCs w:val="22"/>
        </w:rPr>
        <w:t>Tout agent amené à constater une telle violation de données a l’obligation d’en informer immédiatement le délégué à la protection des données.</w:t>
      </w:r>
    </w:p>
    <w:p w:rsidR="00930165" w:rsidRPr="00930165" w:rsidRDefault="00CF4BA2" w:rsidP="00CF4BA2">
      <w:pPr>
        <w:spacing w:before="240" w:after="240"/>
        <w:jc w:val="both"/>
        <w:rPr>
          <w:rFonts w:ascii="Century Gothic" w:hAnsi="Century Gothic" w:cs="Arial"/>
          <w:b/>
          <w:color w:val="222222"/>
          <w:sz w:val="22"/>
          <w:szCs w:val="22"/>
        </w:rPr>
      </w:pPr>
      <w:r>
        <w:rPr>
          <w:rFonts w:ascii="Century Gothic" w:hAnsi="Century Gothic" w:cs="Arial"/>
          <w:b/>
          <w:color w:val="222222"/>
          <w:sz w:val="22"/>
          <w:szCs w:val="22"/>
        </w:rPr>
        <w:t xml:space="preserve">Article </w:t>
      </w:r>
      <w:r w:rsidR="00213A20">
        <w:rPr>
          <w:rFonts w:ascii="Century Gothic" w:hAnsi="Century Gothic" w:cs="Arial"/>
          <w:b/>
          <w:color w:val="222222"/>
          <w:sz w:val="22"/>
          <w:szCs w:val="22"/>
        </w:rPr>
        <w:t>11</w:t>
      </w:r>
      <w:r w:rsidR="00EE06BF">
        <w:rPr>
          <w:rFonts w:ascii="Century Gothic" w:hAnsi="Century Gothic" w:cs="Arial"/>
          <w:b/>
          <w:color w:val="222222"/>
          <w:sz w:val="22"/>
          <w:szCs w:val="22"/>
        </w:rPr>
        <w:t> : Documentation de la violation de donnée</w:t>
      </w:r>
    </w:p>
    <w:p w:rsidR="00930165" w:rsidRDefault="00930165" w:rsidP="00930165">
      <w:pPr>
        <w:spacing w:after="120"/>
        <w:jc w:val="both"/>
        <w:rPr>
          <w:rFonts w:ascii="Century Gothic" w:hAnsi="Century Gothic" w:cs="Arial"/>
          <w:color w:val="222222"/>
          <w:sz w:val="22"/>
          <w:szCs w:val="22"/>
        </w:rPr>
      </w:pPr>
      <w:r>
        <w:rPr>
          <w:rFonts w:ascii="Century Gothic" w:hAnsi="Century Gothic" w:cs="Arial"/>
          <w:color w:val="222222"/>
          <w:sz w:val="22"/>
          <w:szCs w:val="22"/>
        </w:rPr>
        <w:t>Conjointement avec le délégué à la protection des données, l’agent devra, dans un délai maximum de 48 heures :</w:t>
      </w:r>
    </w:p>
    <w:p w:rsidR="00930165" w:rsidRDefault="00930165" w:rsidP="00930165">
      <w:pPr>
        <w:pStyle w:val="Paragraphedeliste"/>
        <w:numPr>
          <w:ilvl w:val="0"/>
          <w:numId w:val="2"/>
        </w:numPr>
        <w:spacing w:after="120"/>
        <w:jc w:val="both"/>
        <w:rPr>
          <w:rFonts w:ascii="Century Gothic" w:hAnsi="Century Gothic" w:cs="Arial"/>
          <w:color w:val="222222"/>
          <w:sz w:val="22"/>
          <w:szCs w:val="22"/>
        </w:rPr>
      </w:pPr>
      <w:r>
        <w:rPr>
          <w:rFonts w:ascii="Century Gothic" w:hAnsi="Century Gothic" w:cs="Arial"/>
          <w:color w:val="222222"/>
          <w:sz w:val="22"/>
          <w:szCs w:val="22"/>
        </w:rPr>
        <w:t>Déterminer la nature de la violation ;</w:t>
      </w:r>
    </w:p>
    <w:p w:rsidR="00930165" w:rsidRDefault="00930165" w:rsidP="00930165">
      <w:pPr>
        <w:pStyle w:val="Paragraphedeliste"/>
        <w:numPr>
          <w:ilvl w:val="0"/>
          <w:numId w:val="2"/>
        </w:numPr>
        <w:spacing w:after="120"/>
        <w:jc w:val="both"/>
        <w:rPr>
          <w:rFonts w:ascii="Century Gothic" w:hAnsi="Century Gothic" w:cs="Arial"/>
          <w:color w:val="222222"/>
          <w:sz w:val="22"/>
          <w:szCs w:val="22"/>
        </w:rPr>
      </w:pPr>
      <w:r>
        <w:rPr>
          <w:rFonts w:ascii="Century Gothic" w:hAnsi="Century Gothic" w:cs="Arial"/>
          <w:color w:val="222222"/>
          <w:sz w:val="22"/>
          <w:szCs w:val="22"/>
        </w:rPr>
        <w:t>Déterminer la catégorie et le nombre approximatif de personnes concernées par les données faisant l’objet de la violation ;</w:t>
      </w:r>
    </w:p>
    <w:p w:rsidR="00930165" w:rsidRDefault="00930165" w:rsidP="00930165">
      <w:pPr>
        <w:pStyle w:val="Paragraphedeliste"/>
        <w:numPr>
          <w:ilvl w:val="0"/>
          <w:numId w:val="2"/>
        </w:numPr>
        <w:spacing w:after="120"/>
        <w:jc w:val="both"/>
        <w:rPr>
          <w:rFonts w:ascii="Century Gothic" w:hAnsi="Century Gothic" w:cs="Arial"/>
          <w:color w:val="222222"/>
          <w:sz w:val="22"/>
          <w:szCs w:val="22"/>
        </w:rPr>
      </w:pPr>
      <w:r>
        <w:rPr>
          <w:rFonts w:ascii="Century Gothic" w:hAnsi="Century Gothic" w:cs="Arial"/>
          <w:color w:val="222222"/>
          <w:sz w:val="22"/>
          <w:szCs w:val="22"/>
        </w:rPr>
        <w:t>Déterminer la catégorie et le nombre approximatif de données concernées ;</w:t>
      </w:r>
    </w:p>
    <w:p w:rsidR="00930165" w:rsidRDefault="00930165" w:rsidP="00930165">
      <w:pPr>
        <w:pStyle w:val="Paragraphedeliste"/>
        <w:numPr>
          <w:ilvl w:val="0"/>
          <w:numId w:val="2"/>
        </w:numPr>
        <w:spacing w:after="120"/>
        <w:jc w:val="both"/>
        <w:rPr>
          <w:rFonts w:ascii="Century Gothic" w:hAnsi="Century Gothic" w:cs="Arial"/>
          <w:color w:val="222222"/>
          <w:sz w:val="22"/>
          <w:szCs w:val="22"/>
        </w:rPr>
      </w:pPr>
      <w:r>
        <w:rPr>
          <w:rFonts w:ascii="Century Gothic" w:hAnsi="Century Gothic" w:cs="Arial"/>
          <w:color w:val="222222"/>
          <w:sz w:val="22"/>
          <w:szCs w:val="22"/>
        </w:rPr>
        <w:t>Décrire les conséquences probables de la violation de données ;</w:t>
      </w:r>
    </w:p>
    <w:p w:rsidR="00930165" w:rsidRPr="00930165" w:rsidRDefault="00930165" w:rsidP="00930165">
      <w:pPr>
        <w:pStyle w:val="Paragraphedeliste"/>
        <w:numPr>
          <w:ilvl w:val="0"/>
          <w:numId w:val="2"/>
        </w:numPr>
        <w:spacing w:after="120"/>
        <w:jc w:val="both"/>
        <w:rPr>
          <w:rFonts w:ascii="Century Gothic" w:hAnsi="Century Gothic" w:cs="Arial"/>
          <w:color w:val="222222"/>
          <w:sz w:val="22"/>
          <w:szCs w:val="22"/>
        </w:rPr>
      </w:pPr>
      <w:r>
        <w:rPr>
          <w:rFonts w:ascii="Century Gothic" w:hAnsi="Century Gothic" w:cs="Arial"/>
          <w:color w:val="222222"/>
          <w:sz w:val="22"/>
          <w:szCs w:val="22"/>
        </w:rPr>
        <w:t>Déterminer et décrire les mesures prises pour atténuer les effets de la violation et éviter que celle-ci ne se reproduise.</w:t>
      </w:r>
    </w:p>
    <w:p w:rsidR="00930165" w:rsidRDefault="00930165" w:rsidP="00930165">
      <w:pPr>
        <w:spacing w:after="120"/>
        <w:jc w:val="both"/>
        <w:rPr>
          <w:rFonts w:ascii="Century Gothic" w:hAnsi="Century Gothic" w:cs="Arial"/>
          <w:color w:val="222222"/>
          <w:sz w:val="22"/>
          <w:szCs w:val="22"/>
        </w:rPr>
      </w:pPr>
      <w:r>
        <w:rPr>
          <w:rFonts w:ascii="Century Gothic" w:hAnsi="Century Gothic" w:cs="Arial"/>
          <w:color w:val="222222"/>
          <w:sz w:val="22"/>
          <w:szCs w:val="22"/>
        </w:rPr>
        <w:t>L’ensemble de ces éléments devront faire l’objet d’une traçabilité et d’une inscription dans le registre des violations de données.</w:t>
      </w:r>
    </w:p>
    <w:p w:rsidR="00930165" w:rsidRDefault="00930165" w:rsidP="00930165">
      <w:pPr>
        <w:spacing w:after="120"/>
        <w:jc w:val="both"/>
        <w:rPr>
          <w:rFonts w:ascii="Century Gothic" w:hAnsi="Century Gothic" w:cs="Arial"/>
          <w:color w:val="222222"/>
          <w:sz w:val="22"/>
          <w:szCs w:val="22"/>
        </w:rPr>
      </w:pPr>
      <w:r>
        <w:rPr>
          <w:rFonts w:ascii="Century Gothic" w:hAnsi="Century Gothic" w:cs="Arial"/>
          <w:color w:val="222222"/>
          <w:sz w:val="22"/>
          <w:szCs w:val="22"/>
        </w:rPr>
        <w:t>Ce registre est tenu et mis à jour par le délégué à la protection des données.</w:t>
      </w:r>
    </w:p>
    <w:p w:rsidR="00930165" w:rsidRPr="00930165" w:rsidRDefault="00CF4BA2" w:rsidP="00CF4BA2">
      <w:pPr>
        <w:spacing w:before="240" w:after="240"/>
        <w:jc w:val="both"/>
        <w:rPr>
          <w:rFonts w:ascii="Century Gothic" w:hAnsi="Century Gothic" w:cs="Arial"/>
          <w:b/>
          <w:color w:val="222222"/>
          <w:sz w:val="22"/>
          <w:szCs w:val="22"/>
        </w:rPr>
      </w:pPr>
      <w:r>
        <w:rPr>
          <w:rFonts w:ascii="Century Gothic" w:hAnsi="Century Gothic" w:cs="Arial"/>
          <w:b/>
          <w:color w:val="222222"/>
          <w:sz w:val="22"/>
          <w:szCs w:val="22"/>
        </w:rPr>
        <w:t xml:space="preserve">Article </w:t>
      </w:r>
      <w:r w:rsidR="00213A20">
        <w:rPr>
          <w:rFonts w:ascii="Century Gothic" w:hAnsi="Century Gothic" w:cs="Arial"/>
          <w:b/>
          <w:color w:val="222222"/>
          <w:sz w:val="22"/>
          <w:szCs w:val="22"/>
        </w:rPr>
        <w:t>12</w:t>
      </w:r>
      <w:r w:rsidR="00EE06BF">
        <w:rPr>
          <w:rFonts w:ascii="Century Gothic" w:hAnsi="Century Gothic" w:cs="Arial"/>
          <w:b/>
          <w:color w:val="222222"/>
          <w:sz w:val="22"/>
          <w:szCs w:val="22"/>
        </w:rPr>
        <w:t> : Notification des violations de données auprès de la CNIL</w:t>
      </w:r>
    </w:p>
    <w:p w:rsidR="00930165" w:rsidRDefault="00930165" w:rsidP="00930165">
      <w:pPr>
        <w:spacing w:after="120"/>
        <w:jc w:val="both"/>
        <w:rPr>
          <w:rFonts w:ascii="Century Gothic" w:hAnsi="Century Gothic" w:cs="Arial"/>
          <w:color w:val="222222"/>
          <w:sz w:val="22"/>
          <w:szCs w:val="22"/>
        </w:rPr>
      </w:pPr>
      <w:r>
        <w:rPr>
          <w:rFonts w:ascii="Century Gothic" w:hAnsi="Century Gothic" w:cs="Arial"/>
          <w:color w:val="222222"/>
          <w:sz w:val="22"/>
          <w:szCs w:val="22"/>
        </w:rPr>
        <w:t xml:space="preserve">Toute violation de données susceptible de porter atteinte à la vie privée des personnes concernées par les données </w:t>
      </w:r>
      <w:r w:rsidR="00C80DBD">
        <w:rPr>
          <w:rFonts w:ascii="Century Gothic" w:hAnsi="Century Gothic" w:cs="Arial"/>
          <w:color w:val="222222"/>
          <w:sz w:val="22"/>
          <w:szCs w:val="22"/>
        </w:rPr>
        <w:t>touchées par</w:t>
      </w:r>
      <w:r>
        <w:rPr>
          <w:rFonts w:ascii="Century Gothic" w:hAnsi="Century Gothic" w:cs="Arial"/>
          <w:color w:val="222222"/>
          <w:sz w:val="22"/>
          <w:szCs w:val="22"/>
        </w:rPr>
        <w:t xml:space="preserve"> la violation </w:t>
      </w:r>
      <w:r w:rsidR="002A7738">
        <w:rPr>
          <w:rFonts w:ascii="Century Gothic" w:hAnsi="Century Gothic" w:cs="Arial"/>
          <w:color w:val="222222"/>
          <w:sz w:val="22"/>
          <w:szCs w:val="22"/>
        </w:rPr>
        <w:t>doit faire l’objet d’une notification auprès de la CNIL aux moyens d’une plate-forme sécurisée sur son site internet (www.cnil.fr).</w:t>
      </w:r>
    </w:p>
    <w:p w:rsidR="002A7738" w:rsidRDefault="002A7738" w:rsidP="00930165">
      <w:pPr>
        <w:spacing w:after="120"/>
        <w:jc w:val="both"/>
        <w:rPr>
          <w:rFonts w:ascii="Century Gothic" w:hAnsi="Century Gothic" w:cs="Arial"/>
          <w:color w:val="222222"/>
          <w:sz w:val="22"/>
          <w:szCs w:val="22"/>
        </w:rPr>
      </w:pPr>
      <w:r>
        <w:rPr>
          <w:rFonts w:ascii="Century Gothic" w:hAnsi="Century Gothic" w:cs="Arial"/>
          <w:color w:val="222222"/>
          <w:sz w:val="22"/>
          <w:szCs w:val="22"/>
        </w:rPr>
        <w:t>Cette notification devra être réalisée conjointement avec le délégué à la protection des données dans un délai maximal de 72 heures suivant la violation de données ou, à défaut, dans un délai maximal de 72 heures suivant la constatation de la violation de données.</w:t>
      </w:r>
    </w:p>
    <w:p w:rsidR="002A7738" w:rsidRDefault="002A7738" w:rsidP="00930165">
      <w:pPr>
        <w:spacing w:after="120"/>
        <w:jc w:val="both"/>
        <w:rPr>
          <w:rFonts w:ascii="Century Gothic" w:hAnsi="Century Gothic" w:cs="Arial"/>
          <w:color w:val="222222"/>
          <w:sz w:val="22"/>
          <w:szCs w:val="22"/>
        </w:rPr>
      </w:pPr>
      <w:r>
        <w:rPr>
          <w:rFonts w:ascii="Century Gothic" w:hAnsi="Century Gothic" w:cs="Arial"/>
          <w:color w:val="222222"/>
          <w:sz w:val="22"/>
          <w:szCs w:val="22"/>
        </w:rPr>
        <w:t>En cas d’impossibilité de réunir toutes les informations susmentionnées dans l’article 11 dans un tel délai, une notification initiale devra être déposée dans ledit délai, suivie d’une notification complémentaire dès que l’ensemble des éléments seront réunis.</w:t>
      </w:r>
    </w:p>
    <w:p w:rsidR="002A7738" w:rsidRDefault="002A7738" w:rsidP="00930165">
      <w:pPr>
        <w:spacing w:after="120"/>
        <w:jc w:val="both"/>
        <w:rPr>
          <w:rFonts w:ascii="Century Gothic" w:hAnsi="Century Gothic" w:cs="Arial"/>
          <w:color w:val="222222"/>
          <w:sz w:val="22"/>
          <w:szCs w:val="22"/>
        </w:rPr>
      </w:pPr>
      <w:r>
        <w:rPr>
          <w:rFonts w:ascii="Century Gothic" w:hAnsi="Century Gothic" w:cs="Arial"/>
          <w:color w:val="222222"/>
          <w:sz w:val="22"/>
          <w:szCs w:val="22"/>
        </w:rPr>
        <w:t>Toute notification effectuée hors délais devra être justifiée.</w:t>
      </w:r>
    </w:p>
    <w:p w:rsidR="00C80DBD" w:rsidRPr="00C80DBD" w:rsidRDefault="00CF4BA2" w:rsidP="00CF4BA2">
      <w:pPr>
        <w:spacing w:before="240" w:after="240"/>
        <w:jc w:val="both"/>
        <w:rPr>
          <w:rFonts w:ascii="Century Gothic" w:hAnsi="Century Gothic" w:cs="Arial"/>
          <w:b/>
          <w:color w:val="222222"/>
          <w:sz w:val="22"/>
          <w:szCs w:val="22"/>
        </w:rPr>
      </w:pPr>
      <w:r>
        <w:rPr>
          <w:rFonts w:ascii="Century Gothic" w:hAnsi="Century Gothic" w:cs="Arial"/>
          <w:b/>
          <w:color w:val="222222"/>
          <w:sz w:val="22"/>
          <w:szCs w:val="22"/>
        </w:rPr>
        <w:t xml:space="preserve">Article </w:t>
      </w:r>
      <w:r w:rsidR="00213A20">
        <w:rPr>
          <w:rFonts w:ascii="Century Gothic" w:hAnsi="Century Gothic" w:cs="Arial"/>
          <w:b/>
          <w:color w:val="222222"/>
          <w:sz w:val="22"/>
          <w:szCs w:val="22"/>
        </w:rPr>
        <w:t>13</w:t>
      </w:r>
      <w:r w:rsidR="00EE06BF">
        <w:rPr>
          <w:rFonts w:ascii="Century Gothic" w:hAnsi="Century Gothic" w:cs="Arial"/>
          <w:b/>
          <w:color w:val="222222"/>
          <w:sz w:val="22"/>
          <w:szCs w:val="22"/>
        </w:rPr>
        <w:t> : Notification des violations de données auprès des personnes concernées</w:t>
      </w:r>
    </w:p>
    <w:p w:rsidR="00CF4BA2" w:rsidRDefault="00C80DBD" w:rsidP="00930165">
      <w:pPr>
        <w:spacing w:after="120"/>
        <w:jc w:val="both"/>
        <w:rPr>
          <w:rFonts w:ascii="Century Gothic" w:hAnsi="Century Gothic" w:cs="Arial"/>
          <w:color w:val="222222"/>
          <w:sz w:val="22"/>
          <w:szCs w:val="22"/>
        </w:rPr>
      </w:pPr>
      <w:r>
        <w:rPr>
          <w:rFonts w:ascii="Century Gothic" w:hAnsi="Century Gothic" w:cs="Arial"/>
          <w:color w:val="222222"/>
          <w:sz w:val="22"/>
          <w:szCs w:val="22"/>
        </w:rPr>
        <w:t>Toute violation de données susceptible de porter une atteinte excessivement élevée à la vie privée des personnes concernées par les données touchées par la violation devra, en outre de la notification mentionnée à l’article 12, faire l’objet d’une notification auprès des personnes concernées.</w:t>
      </w:r>
    </w:p>
    <w:p w:rsidR="00C80DBD" w:rsidRDefault="00C80DBD" w:rsidP="00930165">
      <w:pPr>
        <w:spacing w:after="120"/>
        <w:jc w:val="both"/>
        <w:rPr>
          <w:rFonts w:ascii="Century Gothic" w:hAnsi="Century Gothic" w:cs="Arial"/>
          <w:color w:val="222222"/>
          <w:sz w:val="22"/>
          <w:szCs w:val="22"/>
        </w:rPr>
      </w:pPr>
      <w:r>
        <w:rPr>
          <w:rFonts w:ascii="Century Gothic" w:hAnsi="Century Gothic" w:cs="Arial"/>
          <w:color w:val="222222"/>
          <w:sz w:val="22"/>
          <w:szCs w:val="22"/>
        </w:rPr>
        <w:t xml:space="preserve">La notification devra </w:t>
      </w:r>
      <w:proofErr w:type="gramStart"/>
      <w:r>
        <w:rPr>
          <w:rFonts w:ascii="Century Gothic" w:hAnsi="Century Gothic" w:cs="Arial"/>
          <w:i/>
          <w:color w:val="222222"/>
          <w:sz w:val="22"/>
          <w:szCs w:val="22"/>
        </w:rPr>
        <w:t>a</w:t>
      </w:r>
      <w:proofErr w:type="gramEnd"/>
      <w:r>
        <w:rPr>
          <w:rFonts w:ascii="Century Gothic" w:hAnsi="Century Gothic" w:cs="Arial"/>
          <w:i/>
          <w:color w:val="222222"/>
          <w:sz w:val="22"/>
          <w:szCs w:val="22"/>
        </w:rPr>
        <w:t xml:space="preserve"> minima</w:t>
      </w:r>
      <w:r>
        <w:rPr>
          <w:rFonts w:ascii="Century Gothic" w:hAnsi="Century Gothic" w:cs="Arial"/>
          <w:color w:val="222222"/>
          <w:sz w:val="22"/>
          <w:szCs w:val="22"/>
        </w:rPr>
        <w:t xml:space="preserve"> contenir et exposer, en des termes clairs et précis, la nature de la violation, les conséquences probables de la violation, les coordonnées </w:t>
      </w:r>
      <w:r>
        <w:rPr>
          <w:rFonts w:ascii="Century Gothic" w:hAnsi="Century Gothic" w:cs="Arial"/>
          <w:color w:val="222222"/>
          <w:sz w:val="22"/>
          <w:szCs w:val="22"/>
        </w:rPr>
        <w:lastRenderedPageBreak/>
        <w:t>du délégué à la protection des données et les mesures prises pour remédier à la violation et en limiter les conséquences.</w:t>
      </w:r>
    </w:p>
    <w:p w:rsidR="00C80DBD" w:rsidRDefault="00C80DBD" w:rsidP="00930165">
      <w:pPr>
        <w:spacing w:after="120"/>
        <w:jc w:val="both"/>
        <w:rPr>
          <w:rFonts w:ascii="Century Gothic" w:hAnsi="Century Gothic" w:cs="Arial"/>
          <w:color w:val="222222"/>
          <w:sz w:val="22"/>
          <w:szCs w:val="22"/>
        </w:rPr>
      </w:pPr>
      <w:r>
        <w:rPr>
          <w:rFonts w:ascii="Century Gothic" w:hAnsi="Century Gothic" w:cs="Arial"/>
          <w:color w:val="222222"/>
          <w:sz w:val="22"/>
          <w:szCs w:val="22"/>
        </w:rPr>
        <w:t>La notification devra être complétée, si nécessaire, de recommandations à destination des personnes pour atténuer les effets négatifs potentiels de la violation et leur permettre de prendre les précautions qui s’imposent, tel qu’un changement de mot de passe ou la vérification de l’intégrité des données de leur compte utilisateur.</w:t>
      </w:r>
    </w:p>
    <w:p w:rsidR="00C80DBD" w:rsidRDefault="00C80DBD" w:rsidP="00930165">
      <w:pPr>
        <w:spacing w:after="120"/>
        <w:jc w:val="both"/>
        <w:rPr>
          <w:rFonts w:ascii="Century Gothic" w:hAnsi="Century Gothic" w:cs="Arial"/>
          <w:color w:val="222222"/>
          <w:sz w:val="22"/>
          <w:szCs w:val="22"/>
        </w:rPr>
      </w:pPr>
      <w:r>
        <w:rPr>
          <w:rFonts w:ascii="Century Gothic" w:hAnsi="Century Gothic" w:cs="Arial"/>
          <w:color w:val="222222"/>
          <w:sz w:val="22"/>
          <w:szCs w:val="22"/>
        </w:rPr>
        <w:t>Cette notification devra être réalisée en collaboration avec le délégué à la protection des données dans les meilleurs délais.</w:t>
      </w:r>
    </w:p>
    <w:p w:rsidR="008A15F6" w:rsidRPr="008A15F6" w:rsidRDefault="00CF4BA2" w:rsidP="00CF4BA2">
      <w:pPr>
        <w:spacing w:before="240" w:after="240"/>
        <w:jc w:val="both"/>
        <w:rPr>
          <w:rFonts w:ascii="Century Gothic" w:hAnsi="Century Gothic" w:cs="Arial"/>
          <w:b/>
          <w:color w:val="222222"/>
          <w:sz w:val="22"/>
          <w:szCs w:val="22"/>
        </w:rPr>
      </w:pPr>
      <w:r>
        <w:rPr>
          <w:rFonts w:ascii="Century Gothic" w:hAnsi="Century Gothic" w:cs="Arial"/>
          <w:b/>
          <w:color w:val="222222"/>
          <w:sz w:val="22"/>
          <w:szCs w:val="22"/>
        </w:rPr>
        <w:t xml:space="preserve">Article </w:t>
      </w:r>
      <w:r w:rsidR="00213A20">
        <w:rPr>
          <w:rFonts w:ascii="Century Gothic" w:hAnsi="Century Gothic" w:cs="Arial"/>
          <w:b/>
          <w:color w:val="222222"/>
          <w:sz w:val="22"/>
          <w:szCs w:val="22"/>
        </w:rPr>
        <w:t>14</w:t>
      </w:r>
      <w:r w:rsidR="00EE06BF">
        <w:rPr>
          <w:rFonts w:ascii="Century Gothic" w:hAnsi="Century Gothic" w:cs="Arial"/>
          <w:b/>
          <w:color w:val="222222"/>
          <w:sz w:val="22"/>
          <w:szCs w:val="22"/>
        </w:rPr>
        <w:t> : Traçabilité des notifications de violations de données</w:t>
      </w:r>
    </w:p>
    <w:p w:rsidR="008A15F6" w:rsidRPr="00C80DBD" w:rsidRDefault="008A15F6" w:rsidP="00930165">
      <w:pPr>
        <w:spacing w:after="120"/>
        <w:jc w:val="both"/>
        <w:rPr>
          <w:rFonts w:ascii="Century Gothic" w:hAnsi="Century Gothic" w:cs="Arial"/>
          <w:color w:val="222222"/>
          <w:sz w:val="22"/>
          <w:szCs w:val="22"/>
        </w:rPr>
      </w:pPr>
      <w:r>
        <w:rPr>
          <w:rFonts w:ascii="Century Gothic" w:hAnsi="Century Gothic" w:cs="Arial"/>
          <w:color w:val="222222"/>
          <w:sz w:val="22"/>
          <w:szCs w:val="22"/>
        </w:rPr>
        <w:t>La notification de la violation de données auprès de la CNIL et, le cas échéant, la notification aux personnes concernées devront faire l’objet d’une traçabilité et être inscrites dans le registre des violations de données.</w:t>
      </w:r>
      <w:bookmarkStart w:id="0" w:name="_GoBack"/>
      <w:bookmarkEnd w:id="0"/>
    </w:p>
    <w:sectPr w:rsidR="008A15F6" w:rsidRPr="00C80DBD" w:rsidSect="00CF4BA2">
      <w:pgSz w:w="11906" w:h="16838"/>
      <w:pgMar w:top="141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133D27"/>
    <w:multiLevelType w:val="hybridMultilevel"/>
    <w:tmpl w:val="993069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9CF797D"/>
    <w:multiLevelType w:val="hybridMultilevel"/>
    <w:tmpl w:val="0518E4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288"/>
    <w:rsid w:val="000407AC"/>
    <w:rsid w:val="00061DDF"/>
    <w:rsid w:val="000A2F5B"/>
    <w:rsid w:val="001A5B5C"/>
    <w:rsid w:val="00213A20"/>
    <w:rsid w:val="002A7738"/>
    <w:rsid w:val="0040468A"/>
    <w:rsid w:val="00450372"/>
    <w:rsid w:val="00522C0F"/>
    <w:rsid w:val="00597887"/>
    <w:rsid w:val="008A15F6"/>
    <w:rsid w:val="00930165"/>
    <w:rsid w:val="00976345"/>
    <w:rsid w:val="00A15BAE"/>
    <w:rsid w:val="00C665F9"/>
    <w:rsid w:val="00C80DBD"/>
    <w:rsid w:val="00CD3A29"/>
    <w:rsid w:val="00CF4BA2"/>
    <w:rsid w:val="00D56288"/>
    <w:rsid w:val="00EE06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215548-D54B-4361-B0FF-6BDE83B86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288"/>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15BAE"/>
    <w:pPr>
      <w:ind w:left="720"/>
      <w:contextualSpacing/>
    </w:pPr>
  </w:style>
  <w:style w:type="character" w:styleId="Lienhypertexte">
    <w:name w:val="Hyperlink"/>
    <w:basedOn w:val="Policepardfaut"/>
    <w:uiPriority w:val="99"/>
    <w:unhideWhenUsed/>
    <w:rsid w:val="002A773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1357</Words>
  <Characters>7468</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8808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Bonanni</dc:creator>
  <cp:keywords/>
  <dc:description/>
  <cp:lastModifiedBy>Pierre Bonanni</cp:lastModifiedBy>
  <cp:revision>3</cp:revision>
  <dcterms:created xsi:type="dcterms:W3CDTF">2020-03-12T14:24:00Z</dcterms:created>
  <dcterms:modified xsi:type="dcterms:W3CDTF">2020-03-12T14:30:00Z</dcterms:modified>
</cp:coreProperties>
</file>