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8E6" w:rsidRDefault="001F71DB" w:rsidP="001F71DB">
      <w:pPr>
        <w:adjustRightInd w:val="0"/>
        <w:jc w:val="center"/>
        <w:rPr>
          <w:rFonts w:ascii="Century Gothic" w:hAnsi="Century Gothic"/>
          <w:b/>
          <w:bCs/>
          <w:color w:val="000000"/>
          <w:sz w:val="24"/>
          <w:szCs w:val="24"/>
        </w:rPr>
      </w:pPr>
      <w:r w:rsidRPr="00215F8F">
        <w:rPr>
          <w:rFonts w:ascii="Century Gothic" w:hAnsi="Century Gothic" w:cs="Arial"/>
          <w:b/>
          <w:bCs/>
        </w:rPr>
        <w:t>ARRÊTÉ</w:t>
      </w:r>
      <w:r>
        <w:rPr>
          <w:rFonts w:ascii="Century Gothic" w:hAnsi="Century Gothic" w:cs="Arial"/>
          <w:b/>
          <w:bCs/>
        </w:rPr>
        <w:t xml:space="preserve"> PORTANT ETABLISSEMENT DES LIGNES DIRECTRICES DE GESTION DEFINISSANT LA STRATEGIE PLURIANNUELLE DE PILOTAGE DES RESSOURCES HUMAINES ET LA PROMOTION ET VALORISATION DES PARCOURS PROFESSIONNELS</w:t>
      </w:r>
    </w:p>
    <w:p w:rsidR="00F128E6" w:rsidRPr="00F128E6" w:rsidRDefault="00F128E6" w:rsidP="00F128E6">
      <w:pPr>
        <w:spacing w:after="0" w:line="240" w:lineRule="auto"/>
        <w:jc w:val="center"/>
        <w:rPr>
          <w:rFonts w:ascii="Century Gothic" w:hAnsi="Century Gothic"/>
          <w:b/>
          <w:bCs/>
          <w:color w:val="000000"/>
          <w:sz w:val="24"/>
          <w:szCs w:val="24"/>
        </w:rPr>
      </w:pPr>
    </w:p>
    <w:p w:rsidR="00F128E6" w:rsidRPr="00F128E6" w:rsidRDefault="00F128E6" w:rsidP="00F128E6">
      <w:pPr>
        <w:spacing w:after="0" w:line="240" w:lineRule="auto"/>
        <w:jc w:val="center"/>
        <w:rPr>
          <w:rFonts w:ascii="Century Gothic" w:hAnsi="Century Gothic" w:cs="Arial"/>
          <w:b/>
        </w:rPr>
      </w:pPr>
      <w:r w:rsidRPr="00F128E6">
        <w:rPr>
          <w:rFonts w:ascii="Century Gothic" w:hAnsi="Century Gothic"/>
          <w:b/>
          <w:bCs/>
          <w:color w:val="000000"/>
          <w:sz w:val="28"/>
          <w:szCs w:val="28"/>
        </w:rPr>
        <w:t xml:space="preserve"> </w:t>
      </w:r>
    </w:p>
    <w:p w:rsidR="001F71DB" w:rsidRDefault="00F128E6" w:rsidP="001F71DB">
      <w:pPr>
        <w:pStyle w:val="loose"/>
        <w:spacing w:before="0" w:beforeAutospacing="0" w:after="0" w:afterAutospacing="0"/>
        <w:jc w:val="both"/>
        <w:rPr>
          <w:rFonts w:eastAsia="Calibri"/>
          <w:bCs/>
          <w:sz w:val="16"/>
          <w:szCs w:val="16"/>
          <w:lang w:eastAsia="en-US"/>
        </w:rPr>
      </w:pPr>
      <w:r w:rsidRPr="001F71DB">
        <w:rPr>
          <w:rFonts w:eastAsia="Calibri"/>
          <w:bCs/>
          <w:sz w:val="16"/>
          <w:szCs w:val="16"/>
          <w:lang w:eastAsia="en-US"/>
        </w:rPr>
        <w:t>Vu la loi n°83-634 du 13 juillet 1983 portant droits et obligations des fonctionnaires,</w:t>
      </w:r>
    </w:p>
    <w:p w:rsidR="00F128E6" w:rsidRPr="001F71DB" w:rsidRDefault="00F128E6" w:rsidP="001F71DB">
      <w:pPr>
        <w:pStyle w:val="loose"/>
        <w:spacing w:before="0" w:beforeAutospacing="0" w:after="0" w:afterAutospacing="0"/>
        <w:jc w:val="both"/>
        <w:rPr>
          <w:rFonts w:eastAsia="Calibri"/>
          <w:bCs/>
          <w:sz w:val="16"/>
          <w:szCs w:val="16"/>
          <w:lang w:eastAsia="en-US"/>
        </w:rPr>
      </w:pPr>
      <w:r w:rsidRPr="001F71DB">
        <w:rPr>
          <w:rFonts w:eastAsia="Calibri"/>
          <w:bCs/>
          <w:sz w:val="16"/>
          <w:szCs w:val="16"/>
          <w:lang w:eastAsia="en-US"/>
        </w:rPr>
        <w:t>Vu la loi n°84-53 du 26 janvier 1984 portant dispositions statutaires relatives à la fonction publique territoriale, notamment son article 33-5,</w:t>
      </w:r>
    </w:p>
    <w:p w:rsidR="00F128E6" w:rsidRPr="001F71DB" w:rsidRDefault="00F128E6" w:rsidP="001F71DB">
      <w:pPr>
        <w:pStyle w:val="loose"/>
        <w:spacing w:before="0" w:beforeAutospacing="0" w:after="0" w:afterAutospacing="0"/>
        <w:jc w:val="both"/>
        <w:rPr>
          <w:rFonts w:eastAsia="Calibri"/>
          <w:bCs/>
          <w:sz w:val="16"/>
          <w:szCs w:val="16"/>
          <w:lang w:eastAsia="en-US"/>
        </w:rPr>
      </w:pPr>
      <w:r w:rsidRPr="001F71DB">
        <w:rPr>
          <w:rFonts w:eastAsia="Calibri"/>
          <w:bCs/>
          <w:sz w:val="16"/>
          <w:szCs w:val="16"/>
          <w:lang w:eastAsia="en-US"/>
        </w:rPr>
        <w:t>Vu le décret n°2019-1265 du 29 novembre 2019 relatif aux lignes directrices de gestion et à l'évolution des attributions des commissions administratives paritaires,</w:t>
      </w:r>
    </w:p>
    <w:p w:rsidR="00F128E6" w:rsidRPr="001F71DB" w:rsidRDefault="00F128E6" w:rsidP="001F71DB">
      <w:pPr>
        <w:pStyle w:val="loose"/>
        <w:spacing w:before="0" w:beforeAutospacing="0" w:after="0" w:afterAutospacing="0"/>
        <w:jc w:val="both"/>
        <w:rPr>
          <w:rFonts w:eastAsia="Calibri"/>
          <w:bCs/>
          <w:sz w:val="16"/>
          <w:szCs w:val="16"/>
          <w:lang w:eastAsia="en-US"/>
        </w:rPr>
      </w:pPr>
      <w:r w:rsidRPr="001F71DB">
        <w:rPr>
          <w:rFonts w:eastAsia="Calibri"/>
          <w:bCs/>
          <w:sz w:val="16"/>
          <w:szCs w:val="16"/>
          <w:lang w:eastAsia="en-US"/>
        </w:rPr>
        <w:t xml:space="preserve">Vu l’avis </w:t>
      </w:r>
      <w:bookmarkStart w:id="0" w:name="_GoBack"/>
      <w:bookmarkEnd w:id="0"/>
      <w:r w:rsidRPr="001F71DB">
        <w:rPr>
          <w:rFonts w:eastAsia="Calibri"/>
          <w:bCs/>
          <w:sz w:val="16"/>
          <w:szCs w:val="16"/>
          <w:lang w:eastAsia="en-US"/>
        </w:rPr>
        <w:t>rendu par le Comité technique le [date]…</w:t>
      </w:r>
      <w:r w:rsidR="00B85D94" w:rsidRPr="001F71DB">
        <w:rPr>
          <w:rFonts w:eastAsia="Calibri"/>
          <w:bCs/>
          <w:sz w:val="16"/>
          <w:szCs w:val="16"/>
          <w:lang w:eastAsia="en-US"/>
        </w:rPr>
        <w:t xml:space="preserve">… </w:t>
      </w:r>
    </w:p>
    <w:p w:rsidR="00F128E6" w:rsidRPr="001F71DB" w:rsidRDefault="00F128E6" w:rsidP="001F71DB">
      <w:pPr>
        <w:pStyle w:val="loose"/>
        <w:spacing w:before="0" w:beforeAutospacing="0" w:after="0" w:afterAutospacing="0"/>
        <w:jc w:val="both"/>
        <w:rPr>
          <w:rFonts w:eastAsia="Calibri"/>
          <w:bCs/>
          <w:sz w:val="16"/>
          <w:szCs w:val="16"/>
          <w:lang w:eastAsia="en-US"/>
        </w:rPr>
      </w:pPr>
      <w:r w:rsidRPr="001F71DB">
        <w:rPr>
          <w:rFonts w:eastAsia="Calibri"/>
          <w:bCs/>
          <w:sz w:val="16"/>
          <w:szCs w:val="16"/>
          <w:lang w:eastAsia="en-US"/>
        </w:rPr>
        <w:t>Considérant que dans chaque collectivité et établissement public, des lignes directrices de gestion sont arrêtées par l'autorité territoriale,</w:t>
      </w:r>
      <w:r w:rsidR="00862F75" w:rsidRPr="001F71DB">
        <w:rPr>
          <w:rFonts w:eastAsia="Calibri"/>
          <w:bCs/>
          <w:sz w:val="16"/>
          <w:szCs w:val="16"/>
          <w:lang w:eastAsia="en-US"/>
        </w:rPr>
        <w:t xml:space="preserve"> après avis du comité technique</w:t>
      </w:r>
      <w:r w:rsidRPr="001F71DB">
        <w:rPr>
          <w:rFonts w:eastAsia="Calibri"/>
          <w:bCs/>
          <w:sz w:val="16"/>
          <w:szCs w:val="16"/>
          <w:lang w:eastAsia="en-US"/>
        </w:rPr>
        <w:t>, pour déterminer la stratégie pluriannuelle de pilotage des ressources humaines, notamment en matière de gestion prévisionnelle des emplois et des compétences, et définir les enjeux et les objectifs de la politique de ressources humaines à conduire au sein de la collectivité territoriale ou de l'établissement public, compte tenu des politiques publiques mises en œuvre et de la situation des effectifs, des métiers et des compétences,</w:t>
      </w:r>
    </w:p>
    <w:p w:rsidR="00F128E6" w:rsidRPr="001F71DB" w:rsidRDefault="00F128E6" w:rsidP="001F71DB">
      <w:pPr>
        <w:autoSpaceDE w:val="0"/>
        <w:autoSpaceDN w:val="0"/>
        <w:adjustRightInd w:val="0"/>
        <w:spacing w:after="0" w:line="240" w:lineRule="auto"/>
        <w:jc w:val="both"/>
        <w:rPr>
          <w:rFonts w:ascii="Times New Roman" w:hAnsi="Times New Roman"/>
          <w:sz w:val="16"/>
          <w:szCs w:val="16"/>
        </w:rPr>
      </w:pPr>
      <w:r w:rsidRPr="001F71DB">
        <w:rPr>
          <w:rFonts w:ascii="Times New Roman" w:hAnsi="Times New Roman"/>
          <w:sz w:val="16"/>
          <w:szCs w:val="16"/>
        </w:rPr>
        <w:t>Considérant que ces lignes directrices de gestion constituent ainsi le document de référence pour la gestion des ressources humaines de la collectivité,</w:t>
      </w:r>
    </w:p>
    <w:p w:rsidR="00F128E6" w:rsidRPr="001F71DB" w:rsidRDefault="00F128E6" w:rsidP="001F71DB">
      <w:pPr>
        <w:autoSpaceDE w:val="0"/>
        <w:autoSpaceDN w:val="0"/>
        <w:adjustRightInd w:val="0"/>
        <w:spacing w:after="0" w:line="240" w:lineRule="auto"/>
        <w:jc w:val="both"/>
        <w:rPr>
          <w:rFonts w:ascii="Times New Roman" w:hAnsi="Times New Roman"/>
          <w:sz w:val="16"/>
          <w:szCs w:val="16"/>
        </w:rPr>
      </w:pPr>
    </w:p>
    <w:p w:rsidR="00F128E6" w:rsidRPr="001F71DB" w:rsidRDefault="00F128E6" w:rsidP="001F71DB">
      <w:pPr>
        <w:autoSpaceDE w:val="0"/>
        <w:autoSpaceDN w:val="0"/>
        <w:adjustRightInd w:val="0"/>
        <w:spacing w:after="0" w:line="240" w:lineRule="auto"/>
        <w:jc w:val="both"/>
        <w:rPr>
          <w:rFonts w:ascii="Times New Roman" w:hAnsi="Times New Roman"/>
          <w:sz w:val="16"/>
          <w:szCs w:val="16"/>
        </w:rPr>
      </w:pPr>
      <w:r w:rsidRPr="001F71DB">
        <w:rPr>
          <w:rFonts w:ascii="Times New Roman" w:hAnsi="Times New Roman"/>
          <w:sz w:val="16"/>
          <w:szCs w:val="16"/>
        </w:rPr>
        <w:t>Considérant qu’elles sont communiquées par voie numérique et le cas échéant par tout autre moyen à l’ensemble des agents de la collectivité et qu’elles s’appliqueront en vue des décisions individuelles (promotions, nominations, mobilités…) prises à compter du 1</w:t>
      </w:r>
      <w:r w:rsidRPr="001F71DB">
        <w:rPr>
          <w:rFonts w:ascii="Times New Roman" w:hAnsi="Times New Roman"/>
          <w:sz w:val="16"/>
          <w:szCs w:val="16"/>
          <w:vertAlign w:val="superscript"/>
        </w:rPr>
        <w:t>er</w:t>
      </w:r>
      <w:r w:rsidRPr="001F71DB">
        <w:rPr>
          <w:rFonts w:ascii="Times New Roman" w:hAnsi="Times New Roman"/>
          <w:sz w:val="16"/>
          <w:szCs w:val="16"/>
        </w:rPr>
        <w:t xml:space="preserve"> janvier 2021,</w:t>
      </w:r>
    </w:p>
    <w:p w:rsidR="00F128E6" w:rsidRPr="001F71DB" w:rsidRDefault="00F128E6" w:rsidP="001F71DB">
      <w:pPr>
        <w:pStyle w:val="loose"/>
        <w:spacing w:before="0" w:beforeAutospacing="0" w:after="0" w:afterAutospacing="0"/>
        <w:jc w:val="both"/>
        <w:rPr>
          <w:rFonts w:eastAsia="Calibri"/>
          <w:bCs/>
          <w:sz w:val="16"/>
          <w:szCs w:val="16"/>
          <w:lang w:eastAsia="en-US"/>
        </w:rPr>
      </w:pPr>
      <w:r w:rsidRPr="001F71DB">
        <w:rPr>
          <w:rFonts w:eastAsia="Calibri"/>
          <w:bCs/>
          <w:sz w:val="16"/>
          <w:szCs w:val="16"/>
          <w:lang w:eastAsia="en-US"/>
        </w:rPr>
        <w:t xml:space="preserve">Considérant que les lignes directrices de gestion sont établies pour une durée pluriannuelle qui ne peut excéder six années, </w:t>
      </w:r>
    </w:p>
    <w:p w:rsidR="00F128E6" w:rsidRPr="001F71DB" w:rsidRDefault="00F128E6" w:rsidP="001F71DB">
      <w:pPr>
        <w:autoSpaceDE w:val="0"/>
        <w:autoSpaceDN w:val="0"/>
        <w:adjustRightInd w:val="0"/>
        <w:spacing w:after="0" w:line="240" w:lineRule="auto"/>
        <w:jc w:val="both"/>
        <w:rPr>
          <w:rFonts w:ascii="Times New Roman" w:hAnsi="Times New Roman"/>
          <w:sz w:val="16"/>
          <w:szCs w:val="16"/>
        </w:rPr>
      </w:pPr>
      <w:r w:rsidRPr="001F71DB">
        <w:rPr>
          <w:rFonts w:ascii="Times New Roman" w:hAnsi="Times New Roman"/>
          <w:sz w:val="16"/>
          <w:szCs w:val="16"/>
        </w:rPr>
        <w:t>Considérant qu’elles peuvent faire l’objet de révisions à tout moment, après avis du comité technique,</w:t>
      </w:r>
    </w:p>
    <w:p w:rsidR="00F128E6" w:rsidRPr="001F71DB" w:rsidRDefault="00F128E6" w:rsidP="001F71DB">
      <w:pPr>
        <w:autoSpaceDE w:val="0"/>
        <w:autoSpaceDN w:val="0"/>
        <w:adjustRightInd w:val="0"/>
        <w:spacing w:after="0"/>
        <w:jc w:val="both"/>
        <w:rPr>
          <w:rFonts w:ascii="Times New Roman" w:hAnsi="Times New Roman"/>
          <w:sz w:val="16"/>
          <w:szCs w:val="16"/>
        </w:rPr>
      </w:pPr>
    </w:p>
    <w:p w:rsidR="00F128E6" w:rsidRPr="001F71DB" w:rsidRDefault="00F128E6" w:rsidP="001F71DB">
      <w:pPr>
        <w:autoSpaceDE w:val="0"/>
        <w:autoSpaceDN w:val="0"/>
        <w:adjustRightInd w:val="0"/>
        <w:spacing w:after="0" w:line="240" w:lineRule="auto"/>
        <w:jc w:val="both"/>
        <w:rPr>
          <w:rFonts w:ascii="Century Gothic" w:hAnsi="Century Gothic"/>
          <w:sz w:val="16"/>
          <w:szCs w:val="16"/>
        </w:rPr>
      </w:pPr>
      <w:r w:rsidRPr="001F71DB">
        <w:rPr>
          <w:rFonts w:ascii="Times New Roman" w:hAnsi="Times New Roman"/>
          <w:sz w:val="16"/>
          <w:szCs w:val="16"/>
        </w:rPr>
        <w:t>Considérant que la mise en œuvre des lignes directrices de gestion relatives à la promotion et la valorisation des parcours professionnels fait l’objet d’un bilan annuel devant le Comité technique, sur la base des décisions individuelles prises durant l’année écoulée.</w:t>
      </w:r>
    </w:p>
    <w:p w:rsidR="00F128E6" w:rsidRPr="00F128E6" w:rsidRDefault="00F128E6" w:rsidP="00F128E6">
      <w:pPr>
        <w:autoSpaceDE w:val="0"/>
        <w:autoSpaceDN w:val="0"/>
        <w:adjustRightInd w:val="0"/>
        <w:spacing w:after="0" w:line="240" w:lineRule="auto"/>
        <w:jc w:val="both"/>
        <w:rPr>
          <w:rFonts w:ascii="Century Gothic" w:hAnsi="Century Gothic"/>
          <w:sz w:val="20"/>
          <w:szCs w:val="20"/>
        </w:rPr>
      </w:pPr>
    </w:p>
    <w:p w:rsidR="00F128E6" w:rsidRPr="001F71DB" w:rsidRDefault="00F128E6" w:rsidP="00F128E6">
      <w:pPr>
        <w:spacing w:after="0" w:line="240" w:lineRule="auto"/>
        <w:ind w:firstLine="3969"/>
        <w:rPr>
          <w:rFonts w:ascii="Century Gothic" w:hAnsi="Century Gothic"/>
          <w:b/>
        </w:rPr>
      </w:pPr>
      <w:r w:rsidRPr="001F71DB">
        <w:rPr>
          <w:rFonts w:ascii="Century Gothic" w:hAnsi="Century Gothic"/>
          <w:b/>
        </w:rPr>
        <w:t>ARRÊTE</w:t>
      </w:r>
    </w:p>
    <w:p w:rsidR="00F128E6" w:rsidRPr="00F128E6" w:rsidRDefault="00F128E6" w:rsidP="00F128E6">
      <w:pPr>
        <w:spacing w:after="0" w:line="240" w:lineRule="auto"/>
        <w:jc w:val="both"/>
        <w:rPr>
          <w:rFonts w:ascii="Century Gothic" w:hAnsi="Century Gothic"/>
          <w:b/>
          <w:sz w:val="20"/>
          <w:szCs w:val="20"/>
        </w:rPr>
      </w:pPr>
    </w:p>
    <w:p w:rsidR="00F128E6" w:rsidRPr="001F71DB" w:rsidRDefault="00F128E6" w:rsidP="00F128E6">
      <w:pPr>
        <w:spacing w:after="0" w:line="240" w:lineRule="auto"/>
        <w:jc w:val="both"/>
        <w:rPr>
          <w:rFonts w:ascii="Century Gothic" w:hAnsi="Century Gothic" w:cs="Calibri Light"/>
          <w:color w:val="000000"/>
          <w:sz w:val="18"/>
          <w:szCs w:val="18"/>
        </w:rPr>
      </w:pPr>
      <w:r w:rsidRPr="001F71DB">
        <w:rPr>
          <w:rFonts w:ascii="Century Gothic" w:hAnsi="Century Gothic"/>
          <w:b/>
          <w:sz w:val="18"/>
          <w:szCs w:val="18"/>
        </w:rPr>
        <w:t xml:space="preserve">ARTICLE 1 : </w:t>
      </w:r>
    </w:p>
    <w:p w:rsidR="00F128E6" w:rsidRPr="00F128E6" w:rsidRDefault="00F128E6" w:rsidP="00F128E6">
      <w:pPr>
        <w:autoSpaceDE w:val="0"/>
        <w:autoSpaceDN w:val="0"/>
        <w:adjustRightInd w:val="0"/>
        <w:spacing w:after="0" w:line="240" w:lineRule="auto"/>
        <w:jc w:val="both"/>
        <w:rPr>
          <w:rFonts w:ascii="Century Gothic" w:hAnsi="Century Gothic" w:cs="Calibri"/>
          <w:bCs/>
          <w:color w:val="000000"/>
          <w:spacing w:val="6"/>
          <w:sz w:val="20"/>
          <w:szCs w:val="20"/>
        </w:rPr>
      </w:pPr>
    </w:p>
    <w:p w:rsidR="00F128E6" w:rsidRPr="001F71DB" w:rsidRDefault="00F128E6" w:rsidP="00F128E6">
      <w:pPr>
        <w:autoSpaceDE w:val="0"/>
        <w:autoSpaceDN w:val="0"/>
        <w:adjustRightInd w:val="0"/>
        <w:spacing w:after="0" w:line="240" w:lineRule="auto"/>
        <w:jc w:val="both"/>
        <w:rPr>
          <w:rFonts w:ascii="Times New Roman" w:hAnsi="Times New Roman"/>
          <w:bCs/>
          <w:color w:val="000000"/>
          <w:spacing w:val="6"/>
          <w:sz w:val="18"/>
          <w:szCs w:val="18"/>
        </w:rPr>
      </w:pPr>
      <w:r w:rsidRPr="001F71DB">
        <w:rPr>
          <w:rFonts w:ascii="Times New Roman" w:hAnsi="Times New Roman"/>
          <w:bCs/>
          <w:color w:val="000000"/>
          <w:spacing w:val="6"/>
          <w:sz w:val="18"/>
          <w:szCs w:val="18"/>
        </w:rPr>
        <w:t>Les lignes directrices de gestion rela</w:t>
      </w:r>
      <w:r w:rsidRPr="001F71DB">
        <w:rPr>
          <w:rFonts w:ascii="Times New Roman" w:hAnsi="Times New Roman"/>
          <w:bCs/>
          <w:sz w:val="18"/>
          <w:szCs w:val="18"/>
        </w:rPr>
        <w:t xml:space="preserve">tives à la stratégie pluriannuelle de pilotage des ressources humaines, </w:t>
      </w:r>
      <w:r w:rsidRPr="001F71DB">
        <w:rPr>
          <w:rFonts w:ascii="Times New Roman" w:hAnsi="Times New Roman"/>
          <w:bCs/>
          <w:color w:val="000000"/>
          <w:spacing w:val="6"/>
          <w:sz w:val="18"/>
          <w:szCs w:val="18"/>
        </w:rPr>
        <w:t>sont arrêtées comme prévu dans le ou les document(s) joint(s) en annexe.</w:t>
      </w:r>
    </w:p>
    <w:p w:rsidR="00F128E6" w:rsidRPr="001F71DB" w:rsidRDefault="00F128E6" w:rsidP="00F128E6">
      <w:pPr>
        <w:autoSpaceDE w:val="0"/>
        <w:autoSpaceDN w:val="0"/>
        <w:adjustRightInd w:val="0"/>
        <w:spacing w:after="0" w:line="240" w:lineRule="auto"/>
        <w:jc w:val="both"/>
        <w:rPr>
          <w:rFonts w:ascii="Century Gothic" w:hAnsi="Century Gothic" w:cs="Calibri"/>
          <w:bCs/>
          <w:color w:val="000000"/>
          <w:spacing w:val="6"/>
          <w:sz w:val="18"/>
          <w:szCs w:val="18"/>
        </w:rPr>
      </w:pPr>
    </w:p>
    <w:p w:rsidR="00F128E6" w:rsidRPr="00F128E6" w:rsidRDefault="00F128E6" w:rsidP="00F128E6">
      <w:pPr>
        <w:autoSpaceDE w:val="0"/>
        <w:autoSpaceDN w:val="0"/>
        <w:adjustRightInd w:val="0"/>
        <w:spacing w:after="0" w:line="240" w:lineRule="auto"/>
        <w:jc w:val="both"/>
        <w:rPr>
          <w:rFonts w:ascii="Century Gothic" w:hAnsi="Century Gothic"/>
          <w:b/>
          <w:sz w:val="20"/>
          <w:szCs w:val="20"/>
        </w:rPr>
      </w:pPr>
    </w:p>
    <w:p w:rsidR="00F128E6" w:rsidRPr="001F71DB" w:rsidRDefault="00F128E6" w:rsidP="00F128E6">
      <w:pPr>
        <w:spacing w:after="0" w:line="240" w:lineRule="auto"/>
        <w:jc w:val="both"/>
        <w:rPr>
          <w:rFonts w:ascii="Century Gothic" w:hAnsi="Century Gothic"/>
          <w:b/>
          <w:sz w:val="18"/>
          <w:szCs w:val="18"/>
        </w:rPr>
      </w:pPr>
      <w:r w:rsidRPr="001F71DB">
        <w:rPr>
          <w:rFonts w:ascii="Century Gothic" w:hAnsi="Century Gothic"/>
          <w:b/>
          <w:sz w:val="18"/>
          <w:szCs w:val="18"/>
        </w:rPr>
        <w:t xml:space="preserve">ARTICLE 2 : </w:t>
      </w:r>
    </w:p>
    <w:p w:rsidR="00F128E6" w:rsidRPr="00F128E6" w:rsidRDefault="00F128E6" w:rsidP="00F128E6">
      <w:pPr>
        <w:pStyle w:val="Retraitcorpsdetexte3"/>
        <w:spacing w:after="0"/>
        <w:ind w:left="0"/>
        <w:jc w:val="both"/>
        <w:rPr>
          <w:rFonts w:ascii="Century Gothic" w:hAnsi="Century Gothic" w:cs="Calibri"/>
          <w:bCs/>
          <w:color w:val="000000"/>
          <w:spacing w:val="6"/>
          <w:sz w:val="20"/>
          <w:szCs w:val="20"/>
        </w:rPr>
      </w:pPr>
    </w:p>
    <w:p w:rsidR="00F128E6" w:rsidRPr="001F71DB" w:rsidRDefault="00F128E6" w:rsidP="00F128E6">
      <w:pPr>
        <w:pStyle w:val="Retraitcorpsdetexte3"/>
        <w:spacing w:after="0"/>
        <w:ind w:left="0"/>
        <w:jc w:val="both"/>
        <w:rPr>
          <w:bCs/>
          <w:i/>
          <w:iCs/>
          <w:color w:val="000000"/>
          <w:spacing w:val="6"/>
          <w:sz w:val="18"/>
          <w:szCs w:val="18"/>
        </w:rPr>
      </w:pPr>
      <w:r w:rsidRPr="001F71DB">
        <w:rPr>
          <w:bCs/>
          <w:color w:val="000000"/>
          <w:spacing w:val="6"/>
          <w:sz w:val="18"/>
          <w:szCs w:val="18"/>
        </w:rPr>
        <w:t xml:space="preserve">Les lignes directrices de gestion prennent effet </w:t>
      </w:r>
      <w:proofErr w:type="gramStart"/>
      <w:r w:rsidRPr="001F71DB">
        <w:rPr>
          <w:bCs/>
          <w:color w:val="000000"/>
          <w:spacing w:val="6"/>
          <w:sz w:val="18"/>
          <w:szCs w:val="18"/>
        </w:rPr>
        <w:t>au</w:t>
      </w:r>
      <w:proofErr w:type="gramEnd"/>
      <w:r w:rsidRPr="001F71DB">
        <w:rPr>
          <w:bCs/>
          <w:color w:val="000000"/>
          <w:spacing w:val="6"/>
          <w:sz w:val="18"/>
          <w:szCs w:val="18"/>
        </w:rPr>
        <w:t xml:space="preserve"> [date].</w:t>
      </w:r>
    </w:p>
    <w:p w:rsidR="00F128E6" w:rsidRPr="001F71DB" w:rsidRDefault="00F128E6" w:rsidP="00F128E6">
      <w:pPr>
        <w:pStyle w:val="Retraitcorpsdetexte3"/>
        <w:spacing w:after="0"/>
        <w:ind w:left="0"/>
        <w:jc w:val="both"/>
        <w:rPr>
          <w:bCs/>
          <w:i/>
          <w:iCs/>
          <w:color w:val="000000"/>
          <w:spacing w:val="6"/>
          <w:sz w:val="18"/>
          <w:szCs w:val="18"/>
        </w:rPr>
      </w:pPr>
    </w:p>
    <w:p w:rsidR="00F128E6" w:rsidRPr="001F71DB" w:rsidRDefault="00F128E6" w:rsidP="00F128E6">
      <w:pPr>
        <w:spacing w:after="0" w:line="240" w:lineRule="auto"/>
        <w:jc w:val="both"/>
        <w:rPr>
          <w:rFonts w:ascii="Century Gothic" w:hAnsi="Century Gothic"/>
          <w:b/>
          <w:sz w:val="18"/>
          <w:szCs w:val="18"/>
        </w:rPr>
      </w:pPr>
      <w:r w:rsidRPr="001F71DB">
        <w:rPr>
          <w:rFonts w:ascii="Century Gothic" w:hAnsi="Century Gothic"/>
          <w:b/>
          <w:sz w:val="18"/>
          <w:szCs w:val="18"/>
        </w:rPr>
        <w:t>ARTICLE 3 :</w:t>
      </w:r>
    </w:p>
    <w:p w:rsidR="00F128E6" w:rsidRPr="00F128E6" w:rsidRDefault="00F128E6" w:rsidP="00F128E6">
      <w:pPr>
        <w:pStyle w:val="Retraitcorpsdetexte3"/>
        <w:spacing w:after="0"/>
        <w:ind w:left="0"/>
        <w:jc w:val="both"/>
        <w:rPr>
          <w:rFonts w:ascii="Century Gothic" w:hAnsi="Century Gothic" w:cs="Calibri"/>
          <w:bCs/>
          <w:i/>
          <w:iCs/>
          <w:color w:val="000000"/>
          <w:spacing w:val="6"/>
          <w:sz w:val="20"/>
          <w:szCs w:val="20"/>
        </w:rPr>
      </w:pPr>
    </w:p>
    <w:p w:rsidR="00F128E6" w:rsidRPr="001F71DB" w:rsidRDefault="00F128E6" w:rsidP="00F128E6">
      <w:pPr>
        <w:pStyle w:val="Retraitcorpsdetexte3"/>
        <w:spacing w:after="0"/>
        <w:ind w:left="0"/>
        <w:jc w:val="both"/>
        <w:rPr>
          <w:b/>
          <w:sz w:val="18"/>
          <w:szCs w:val="18"/>
        </w:rPr>
      </w:pPr>
      <w:r w:rsidRPr="001F71DB">
        <w:rPr>
          <w:bCs/>
          <w:color w:val="000000"/>
          <w:spacing w:val="6"/>
          <w:sz w:val="18"/>
          <w:szCs w:val="18"/>
        </w:rPr>
        <w:t xml:space="preserve">Les lignes directrices de gestion sont établies pour une durée de (6 ans maximum). Elles pourront faire l’objet, en tout ou partie, d’une révision en cours de période, </w:t>
      </w:r>
      <w:r w:rsidRPr="001F71DB">
        <w:rPr>
          <w:color w:val="000000"/>
          <w:sz w:val="18"/>
          <w:szCs w:val="18"/>
        </w:rPr>
        <w:t>après avis du Comité Technique</w:t>
      </w:r>
      <w:r w:rsidRPr="001F71DB">
        <w:rPr>
          <w:bCs/>
          <w:color w:val="000000"/>
          <w:spacing w:val="6"/>
          <w:sz w:val="18"/>
          <w:szCs w:val="18"/>
        </w:rPr>
        <w:t>.</w:t>
      </w:r>
    </w:p>
    <w:p w:rsidR="00F128E6" w:rsidRPr="00F128E6" w:rsidRDefault="00F128E6" w:rsidP="00F128E6">
      <w:pPr>
        <w:pStyle w:val="Retraitcorpsdetexte3"/>
        <w:spacing w:after="0"/>
        <w:ind w:left="0"/>
        <w:jc w:val="both"/>
        <w:rPr>
          <w:rFonts w:ascii="Century Gothic" w:hAnsi="Century Gothic"/>
          <w:b/>
          <w:sz w:val="20"/>
          <w:szCs w:val="20"/>
          <w:u w:val="single"/>
        </w:rPr>
      </w:pPr>
    </w:p>
    <w:p w:rsidR="00F128E6" w:rsidRPr="00F128E6" w:rsidRDefault="00F128E6" w:rsidP="00F128E6">
      <w:pPr>
        <w:autoSpaceDE w:val="0"/>
        <w:autoSpaceDN w:val="0"/>
        <w:adjustRightInd w:val="0"/>
        <w:spacing w:after="0" w:line="240" w:lineRule="auto"/>
        <w:jc w:val="both"/>
        <w:rPr>
          <w:rFonts w:ascii="Century Gothic" w:hAnsi="Century Gothic" w:cs="Calibri Light"/>
          <w:sz w:val="20"/>
          <w:szCs w:val="20"/>
        </w:rPr>
      </w:pPr>
    </w:p>
    <w:p w:rsidR="00F128E6" w:rsidRPr="001F71DB" w:rsidRDefault="00F128E6" w:rsidP="00F128E6">
      <w:pPr>
        <w:pStyle w:val="Retraitcorpsdetexte3"/>
        <w:spacing w:after="0"/>
        <w:ind w:left="0"/>
        <w:jc w:val="both"/>
        <w:rPr>
          <w:rFonts w:ascii="Century Gothic" w:hAnsi="Century Gothic"/>
          <w:sz w:val="18"/>
          <w:szCs w:val="18"/>
        </w:rPr>
      </w:pPr>
      <w:r w:rsidRPr="001F71DB">
        <w:rPr>
          <w:rFonts w:ascii="Century Gothic" w:hAnsi="Century Gothic"/>
          <w:b/>
          <w:sz w:val="18"/>
          <w:szCs w:val="18"/>
        </w:rPr>
        <w:t>Article 4 :</w:t>
      </w:r>
      <w:r w:rsidRPr="001F71DB">
        <w:rPr>
          <w:rFonts w:ascii="Century Gothic" w:hAnsi="Century Gothic"/>
          <w:sz w:val="18"/>
          <w:szCs w:val="18"/>
        </w:rPr>
        <w:t xml:space="preserve"> </w:t>
      </w:r>
    </w:p>
    <w:p w:rsidR="00F128E6" w:rsidRPr="001F71DB" w:rsidRDefault="00F128E6" w:rsidP="00F128E6">
      <w:pPr>
        <w:pStyle w:val="Retraitcorpsdetexte3"/>
        <w:spacing w:after="0"/>
        <w:ind w:left="0"/>
        <w:jc w:val="both"/>
        <w:rPr>
          <w:rFonts w:ascii="Century Gothic" w:hAnsi="Century Gothic" w:cs="Calibri"/>
          <w:bCs/>
          <w:color w:val="000000"/>
          <w:spacing w:val="6"/>
          <w:sz w:val="18"/>
          <w:szCs w:val="18"/>
        </w:rPr>
      </w:pPr>
    </w:p>
    <w:p w:rsidR="00F128E6" w:rsidRPr="001F71DB" w:rsidRDefault="00F128E6" w:rsidP="00F128E6">
      <w:pPr>
        <w:pStyle w:val="Retraitcorpsdetexte3"/>
        <w:spacing w:after="0"/>
        <w:jc w:val="both"/>
        <w:rPr>
          <w:rFonts w:eastAsia="Calibri"/>
          <w:bCs/>
          <w:sz w:val="18"/>
          <w:szCs w:val="18"/>
          <w:lang w:eastAsia="en-US"/>
        </w:rPr>
      </w:pPr>
      <w:r w:rsidRPr="001F71DB">
        <w:rPr>
          <w:rFonts w:eastAsia="Calibri"/>
          <w:bCs/>
          <w:sz w:val="18"/>
          <w:szCs w:val="18"/>
          <w:lang w:eastAsia="en-US"/>
        </w:rPr>
        <w:t>Le Secrétaire général (ou le Directeur général) est chargé de l'exécution du présent arrêté qui sera :</w:t>
      </w:r>
    </w:p>
    <w:p w:rsidR="00F128E6" w:rsidRPr="001F71DB" w:rsidRDefault="00F128E6" w:rsidP="00F128E6">
      <w:pPr>
        <w:pStyle w:val="Retraitcorpsdetexte3"/>
        <w:spacing w:after="0"/>
        <w:jc w:val="both"/>
        <w:rPr>
          <w:rFonts w:eastAsia="Calibri"/>
          <w:bCs/>
          <w:sz w:val="18"/>
          <w:szCs w:val="18"/>
          <w:lang w:eastAsia="en-US"/>
        </w:rPr>
      </w:pPr>
      <w:r w:rsidRPr="001F71DB">
        <w:rPr>
          <w:rFonts w:eastAsia="Calibri"/>
          <w:bCs/>
          <w:sz w:val="18"/>
          <w:szCs w:val="18"/>
          <w:lang w:eastAsia="en-US"/>
        </w:rPr>
        <w:t>- Transmis au représentant de l'État,</w:t>
      </w:r>
    </w:p>
    <w:p w:rsidR="00F128E6" w:rsidRPr="001F71DB" w:rsidRDefault="00F128E6" w:rsidP="00F128E6">
      <w:pPr>
        <w:pStyle w:val="Retraitcorpsdetexte3"/>
        <w:spacing w:after="0"/>
        <w:jc w:val="both"/>
        <w:rPr>
          <w:rFonts w:eastAsia="Calibri"/>
          <w:bCs/>
          <w:sz w:val="18"/>
          <w:szCs w:val="18"/>
          <w:lang w:eastAsia="en-US"/>
        </w:rPr>
      </w:pPr>
    </w:p>
    <w:p w:rsidR="00F128E6" w:rsidRPr="001F71DB" w:rsidRDefault="00F128E6" w:rsidP="00F128E6">
      <w:pPr>
        <w:pStyle w:val="Retraitcorpsdetexte3"/>
        <w:spacing w:after="0"/>
        <w:jc w:val="both"/>
        <w:rPr>
          <w:rFonts w:eastAsia="Calibri"/>
          <w:bCs/>
          <w:sz w:val="18"/>
          <w:szCs w:val="18"/>
          <w:lang w:eastAsia="en-US"/>
        </w:rPr>
      </w:pPr>
      <w:r w:rsidRPr="001F71DB">
        <w:rPr>
          <w:rFonts w:eastAsia="Calibri"/>
          <w:bCs/>
          <w:sz w:val="18"/>
          <w:szCs w:val="18"/>
          <w:lang w:eastAsia="en-US"/>
        </w:rPr>
        <w:t>Ampliation adressée au :</w:t>
      </w:r>
    </w:p>
    <w:p w:rsidR="00F128E6" w:rsidRPr="001F71DB" w:rsidRDefault="00F128E6" w:rsidP="00F128E6">
      <w:pPr>
        <w:pStyle w:val="Retraitcorpsdetexte3"/>
        <w:spacing w:after="0"/>
        <w:jc w:val="both"/>
        <w:rPr>
          <w:rFonts w:eastAsia="Calibri"/>
          <w:bCs/>
          <w:sz w:val="18"/>
          <w:szCs w:val="18"/>
          <w:lang w:eastAsia="en-US"/>
        </w:rPr>
      </w:pPr>
      <w:r w:rsidRPr="001F71DB">
        <w:rPr>
          <w:rFonts w:eastAsia="Calibri"/>
          <w:bCs/>
          <w:sz w:val="18"/>
          <w:szCs w:val="18"/>
          <w:lang w:eastAsia="en-US"/>
        </w:rPr>
        <w:t>- Président du centre de gestion,</w:t>
      </w:r>
    </w:p>
    <w:p w:rsidR="00F128E6" w:rsidRPr="001F71DB" w:rsidRDefault="00F128E6" w:rsidP="00F128E6">
      <w:pPr>
        <w:pStyle w:val="Retraitcorpsdetexte3"/>
        <w:spacing w:after="0"/>
        <w:jc w:val="both"/>
        <w:rPr>
          <w:rFonts w:eastAsia="Calibri"/>
          <w:bCs/>
          <w:sz w:val="18"/>
          <w:szCs w:val="18"/>
          <w:lang w:eastAsia="en-US"/>
        </w:rPr>
      </w:pPr>
      <w:r w:rsidRPr="001F71DB">
        <w:rPr>
          <w:rFonts w:eastAsia="Calibri"/>
          <w:bCs/>
          <w:sz w:val="18"/>
          <w:szCs w:val="18"/>
          <w:lang w:eastAsia="en-US"/>
        </w:rPr>
        <w:t>- Comptable de la collectivité.</w:t>
      </w:r>
    </w:p>
    <w:p w:rsidR="00F128E6" w:rsidRPr="00F128E6" w:rsidRDefault="00F128E6" w:rsidP="00F128E6">
      <w:pPr>
        <w:pStyle w:val="Retraitcorpsdetexte3"/>
        <w:spacing w:after="0"/>
        <w:jc w:val="both"/>
        <w:rPr>
          <w:rFonts w:eastAsia="Calibri"/>
          <w:bCs/>
          <w:sz w:val="22"/>
          <w:szCs w:val="22"/>
          <w:lang w:eastAsia="en-US"/>
        </w:rPr>
      </w:pPr>
    </w:p>
    <w:p w:rsidR="00F128E6" w:rsidRPr="001F71DB" w:rsidRDefault="00F128E6" w:rsidP="00F128E6">
      <w:pPr>
        <w:pStyle w:val="Retraitcorpsdetexte3"/>
        <w:spacing w:after="0"/>
        <w:ind w:left="4531" w:firstLine="425"/>
        <w:jc w:val="both"/>
        <w:rPr>
          <w:rFonts w:eastAsia="Calibri"/>
          <w:bCs/>
          <w:sz w:val="18"/>
          <w:szCs w:val="18"/>
          <w:lang w:eastAsia="en-US"/>
        </w:rPr>
      </w:pPr>
      <w:r w:rsidRPr="001F71DB">
        <w:rPr>
          <w:rFonts w:eastAsia="Calibri"/>
          <w:bCs/>
          <w:sz w:val="18"/>
          <w:szCs w:val="18"/>
          <w:lang w:eastAsia="en-US"/>
        </w:rPr>
        <w:t xml:space="preserve">Fait à [commune], </w:t>
      </w:r>
      <w:proofErr w:type="gramStart"/>
      <w:r w:rsidRPr="001F71DB">
        <w:rPr>
          <w:rFonts w:eastAsia="Calibri"/>
          <w:bCs/>
          <w:sz w:val="18"/>
          <w:szCs w:val="18"/>
          <w:lang w:eastAsia="en-US"/>
        </w:rPr>
        <w:t>le</w:t>
      </w:r>
      <w:proofErr w:type="gramEnd"/>
      <w:r w:rsidRPr="001F71DB">
        <w:rPr>
          <w:rFonts w:eastAsia="Calibri"/>
          <w:bCs/>
          <w:sz w:val="18"/>
          <w:szCs w:val="18"/>
          <w:lang w:eastAsia="en-US"/>
        </w:rPr>
        <w:t xml:space="preserve"> [date]</w:t>
      </w:r>
    </w:p>
    <w:p w:rsidR="00F128E6" w:rsidRPr="001F71DB" w:rsidRDefault="00F128E6" w:rsidP="001F71DB">
      <w:pPr>
        <w:pStyle w:val="Retraitcorpsdetexte3"/>
        <w:spacing w:after="0"/>
        <w:ind w:left="4531" w:firstLine="425"/>
        <w:jc w:val="both"/>
        <w:rPr>
          <w:rFonts w:eastAsia="Calibri"/>
          <w:bCs/>
          <w:sz w:val="18"/>
          <w:szCs w:val="18"/>
          <w:lang w:eastAsia="en-US"/>
        </w:rPr>
      </w:pPr>
      <w:r w:rsidRPr="001F71DB">
        <w:rPr>
          <w:rFonts w:eastAsia="Calibri"/>
          <w:bCs/>
          <w:sz w:val="18"/>
          <w:szCs w:val="18"/>
          <w:lang w:eastAsia="en-US"/>
        </w:rPr>
        <w:t xml:space="preserve">Le </w:t>
      </w:r>
      <w:r w:rsidR="001F71DB">
        <w:rPr>
          <w:rFonts w:eastAsia="Calibri"/>
          <w:bCs/>
          <w:sz w:val="18"/>
          <w:szCs w:val="18"/>
          <w:lang w:eastAsia="en-US"/>
        </w:rPr>
        <w:t>Maire (ou le Président)</w:t>
      </w:r>
    </w:p>
    <w:p w:rsidR="00F128E6" w:rsidRPr="00F128E6" w:rsidRDefault="00F128E6" w:rsidP="00F128E6">
      <w:pPr>
        <w:pStyle w:val="Retraitcorpsdetexte3"/>
        <w:spacing w:after="0"/>
        <w:jc w:val="both"/>
        <w:rPr>
          <w:rFonts w:ascii="Century Gothic" w:eastAsia="Calibri" w:hAnsi="Century Gothic"/>
          <w:bCs/>
          <w:sz w:val="20"/>
          <w:szCs w:val="20"/>
          <w:lang w:eastAsia="en-US"/>
        </w:rPr>
      </w:pPr>
    </w:p>
    <w:p w:rsidR="00F128E6" w:rsidRPr="00F128E6" w:rsidRDefault="00F128E6" w:rsidP="00F128E6">
      <w:pPr>
        <w:pStyle w:val="Retraitcorpsdetexte3"/>
        <w:spacing w:after="0"/>
        <w:jc w:val="both"/>
        <w:rPr>
          <w:rFonts w:ascii="Century Gothic" w:eastAsia="Calibri" w:hAnsi="Century Gothic"/>
          <w:bCs/>
          <w:sz w:val="20"/>
          <w:szCs w:val="20"/>
          <w:lang w:eastAsia="en-US"/>
        </w:rPr>
      </w:pPr>
    </w:p>
    <w:p w:rsidR="00F128E6" w:rsidRPr="001F71DB" w:rsidRDefault="00F128E6" w:rsidP="001F71DB">
      <w:pPr>
        <w:pStyle w:val="Retraitcorpsdetexte3"/>
        <w:spacing w:after="0"/>
        <w:ind w:left="0"/>
        <w:jc w:val="both"/>
        <w:rPr>
          <w:rFonts w:eastAsia="Calibri"/>
          <w:bCs/>
          <w:sz w:val="14"/>
          <w:szCs w:val="14"/>
          <w:lang w:eastAsia="en-US"/>
        </w:rPr>
      </w:pPr>
    </w:p>
    <w:p w:rsidR="00F128E6" w:rsidRPr="001F71DB" w:rsidRDefault="00F128E6" w:rsidP="00F128E6">
      <w:pPr>
        <w:pStyle w:val="Retraitcorpsdetexte3"/>
        <w:spacing w:after="0"/>
        <w:jc w:val="both"/>
        <w:rPr>
          <w:rFonts w:eastAsia="Calibri"/>
          <w:bCs/>
          <w:sz w:val="14"/>
          <w:szCs w:val="14"/>
          <w:lang w:eastAsia="en-US"/>
        </w:rPr>
      </w:pPr>
      <w:r w:rsidRPr="001F71DB">
        <w:rPr>
          <w:rFonts w:eastAsia="Calibri"/>
          <w:bCs/>
          <w:sz w:val="14"/>
          <w:szCs w:val="14"/>
          <w:lang w:eastAsia="en-US"/>
        </w:rPr>
        <w:t>Le Maire (ou le Président),</w:t>
      </w:r>
    </w:p>
    <w:p w:rsidR="00F128E6" w:rsidRPr="001F71DB" w:rsidRDefault="00F128E6" w:rsidP="00F128E6">
      <w:pPr>
        <w:pStyle w:val="Retraitcorpsdetexte3"/>
        <w:spacing w:after="0"/>
        <w:jc w:val="both"/>
        <w:rPr>
          <w:rFonts w:eastAsia="Calibri"/>
          <w:bCs/>
          <w:sz w:val="14"/>
          <w:szCs w:val="14"/>
          <w:lang w:eastAsia="en-US"/>
        </w:rPr>
      </w:pPr>
      <w:r w:rsidRPr="001F71DB">
        <w:rPr>
          <w:rFonts w:eastAsia="Calibri"/>
          <w:bCs/>
          <w:sz w:val="14"/>
          <w:szCs w:val="14"/>
          <w:lang w:eastAsia="en-US"/>
        </w:rPr>
        <w:t>- certifie sous sa responsabilité le caractère exécutoire de cet acte,</w:t>
      </w:r>
    </w:p>
    <w:p w:rsidR="00F128E6" w:rsidRPr="001F71DB" w:rsidRDefault="00F128E6" w:rsidP="00F128E6">
      <w:pPr>
        <w:pStyle w:val="Retraitcorpsdetexte3"/>
        <w:spacing w:after="0"/>
        <w:jc w:val="both"/>
        <w:rPr>
          <w:rFonts w:eastAsia="Calibri"/>
          <w:bCs/>
          <w:sz w:val="14"/>
          <w:szCs w:val="14"/>
          <w:lang w:eastAsia="en-US"/>
        </w:rPr>
      </w:pPr>
      <w:r w:rsidRPr="001F71DB">
        <w:rPr>
          <w:rFonts w:eastAsia="Calibri"/>
          <w:bCs/>
          <w:sz w:val="14"/>
          <w:szCs w:val="14"/>
          <w:lang w:eastAsia="en-US"/>
        </w:rPr>
        <w:t>- informe que le présent arrêté peut faire l’objet d’un recours pour excès de pouvoir devant le Tribunal Administratif dans un délai de deux mois à compter de la présente notification.</w:t>
      </w:r>
    </w:p>
    <w:p w:rsidR="00F128E6" w:rsidRPr="001F71DB" w:rsidRDefault="00F128E6" w:rsidP="00F128E6">
      <w:pPr>
        <w:pStyle w:val="Retraitcorpsdetexte3"/>
        <w:spacing w:after="0"/>
        <w:jc w:val="both"/>
        <w:rPr>
          <w:rFonts w:eastAsia="Calibri"/>
          <w:bCs/>
          <w:sz w:val="14"/>
          <w:szCs w:val="14"/>
          <w:lang w:eastAsia="en-US"/>
        </w:rPr>
      </w:pPr>
      <w:r w:rsidRPr="001F71DB">
        <w:rPr>
          <w:rFonts w:eastAsia="Calibri"/>
          <w:bCs/>
          <w:sz w:val="14"/>
          <w:szCs w:val="14"/>
          <w:lang w:eastAsia="en-US"/>
        </w:rPr>
        <w:t xml:space="preserve">Le tribunal administratif peut aussi être saisi par l’application informatique « </w:t>
      </w:r>
      <w:proofErr w:type="spellStart"/>
      <w:r w:rsidRPr="001F71DB">
        <w:rPr>
          <w:rFonts w:eastAsia="Calibri"/>
          <w:bCs/>
          <w:sz w:val="14"/>
          <w:szCs w:val="14"/>
          <w:lang w:eastAsia="en-US"/>
        </w:rPr>
        <w:t>Télérecours</w:t>
      </w:r>
      <w:proofErr w:type="spellEnd"/>
      <w:r w:rsidRPr="001F71DB">
        <w:rPr>
          <w:rFonts w:eastAsia="Calibri"/>
          <w:bCs/>
          <w:sz w:val="14"/>
          <w:szCs w:val="14"/>
          <w:lang w:eastAsia="en-US"/>
        </w:rPr>
        <w:t xml:space="preserve"> Citoyens » accessible par le site internet www.telerecours.fr</w:t>
      </w:r>
    </w:p>
    <w:p w:rsidR="00F128E6" w:rsidRPr="001F71DB" w:rsidRDefault="00F128E6" w:rsidP="00F128E6">
      <w:pPr>
        <w:pStyle w:val="Retraitcorpsdetexte3"/>
        <w:spacing w:after="0"/>
        <w:jc w:val="both"/>
        <w:rPr>
          <w:rFonts w:eastAsia="Calibri"/>
          <w:bCs/>
          <w:sz w:val="14"/>
          <w:szCs w:val="14"/>
          <w:lang w:eastAsia="en-US"/>
        </w:rPr>
      </w:pPr>
    </w:p>
    <w:sectPr w:rsidR="00F128E6" w:rsidRPr="001F71DB" w:rsidSect="00BA74E6">
      <w:footerReference w:type="default" r:id="rId6"/>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D94" w:rsidRDefault="00B85D94" w:rsidP="00B85D94">
      <w:pPr>
        <w:spacing w:after="0" w:line="240" w:lineRule="auto"/>
      </w:pPr>
      <w:r>
        <w:separator/>
      </w:r>
    </w:p>
  </w:endnote>
  <w:endnote w:type="continuationSeparator" w:id="0">
    <w:p w:rsidR="00B85D94" w:rsidRDefault="00B85D94" w:rsidP="00B85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C9" w:rsidRPr="00980A5B" w:rsidRDefault="000B0D1B" w:rsidP="00320DC9">
    <w:pPr>
      <w:spacing w:after="120" w:line="240" w:lineRule="auto"/>
      <w:ind w:left="1418"/>
      <w:jc w:val="both"/>
      <w:rPr>
        <w:rFonts w:ascii="Calibri Light" w:hAnsi="Calibri Light" w:cs="Calibri Light"/>
        <w:color w:val="808080"/>
        <w:sz w:val="16"/>
        <w:szCs w:val="16"/>
      </w:rPr>
    </w:pPr>
  </w:p>
  <w:p w:rsidR="00320DC9" w:rsidRPr="00320DC9" w:rsidRDefault="000B0D1B" w:rsidP="00320DC9">
    <w:pPr>
      <w:spacing w:after="0" w:line="240" w:lineRule="auto"/>
      <w:ind w:left="1418"/>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D94" w:rsidRDefault="00B85D94" w:rsidP="00B85D94">
      <w:pPr>
        <w:spacing w:after="0" w:line="240" w:lineRule="auto"/>
      </w:pPr>
      <w:r>
        <w:separator/>
      </w:r>
    </w:p>
  </w:footnote>
  <w:footnote w:type="continuationSeparator" w:id="0">
    <w:p w:rsidR="00B85D94" w:rsidRDefault="00B85D94" w:rsidP="00B85D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E6"/>
    <w:rsid w:val="000B0D1B"/>
    <w:rsid w:val="001F71DB"/>
    <w:rsid w:val="00520665"/>
    <w:rsid w:val="006D25BF"/>
    <w:rsid w:val="00862F75"/>
    <w:rsid w:val="00B85D94"/>
    <w:rsid w:val="00F12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FD15DE8-D953-48F5-9E28-0D7A5B83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8E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F128E6"/>
    <w:pPr>
      <w:spacing w:before="100" w:beforeAutospacing="1" w:after="100" w:afterAutospacing="1" w:line="240" w:lineRule="auto"/>
    </w:pPr>
    <w:rPr>
      <w:rFonts w:ascii="Times New Roman" w:eastAsia="Times New Roman" w:hAnsi="Times New Roman"/>
      <w:sz w:val="24"/>
      <w:szCs w:val="24"/>
      <w:lang w:eastAsia="fr-FR"/>
    </w:rPr>
  </w:style>
  <w:style w:type="paragraph" w:styleId="Retraitcorpsdetexte3">
    <w:name w:val="Body Text Indent 3"/>
    <w:basedOn w:val="Normal"/>
    <w:link w:val="Retraitcorpsdetexte3Car"/>
    <w:rsid w:val="00F128E6"/>
    <w:pPr>
      <w:spacing w:after="120" w:line="240" w:lineRule="auto"/>
      <w:ind w:left="283"/>
    </w:pPr>
    <w:rPr>
      <w:rFonts w:ascii="Times New Roman" w:eastAsia="Times New Roman" w:hAnsi="Times New Roman"/>
      <w:sz w:val="16"/>
      <w:szCs w:val="16"/>
      <w:lang w:eastAsia="fr-FR"/>
    </w:rPr>
  </w:style>
  <w:style w:type="character" w:customStyle="1" w:styleId="Retraitcorpsdetexte3Car">
    <w:name w:val="Retrait corps de texte 3 Car"/>
    <w:basedOn w:val="Policepardfaut"/>
    <w:link w:val="Retraitcorpsdetexte3"/>
    <w:rsid w:val="00F128E6"/>
    <w:rPr>
      <w:rFonts w:ascii="Times New Roman" w:eastAsia="Times New Roman" w:hAnsi="Times New Roman" w:cs="Times New Roman"/>
      <w:sz w:val="16"/>
      <w:szCs w:val="16"/>
      <w:lang w:eastAsia="fr-FR"/>
    </w:rPr>
  </w:style>
  <w:style w:type="paragraph" w:styleId="En-tte">
    <w:name w:val="header"/>
    <w:basedOn w:val="Normal"/>
    <w:link w:val="En-tteCar"/>
    <w:uiPriority w:val="99"/>
    <w:unhideWhenUsed/>
    <w:rsid w:val="00B85D94"/>
    <w:pPr>
      <w:tabs>
        <w:tab w:val="center" w:pos="4536"/>
        <w:tab w:val="right" w:pos="9072"/>
      </w:tabs>
      <w:spacing w:after="0" w:line="240" w:lineRule="auto"/>
    </w:pPr>
  </w:style>
  <w:style w:type="character" w:customStyle="1" w:styleId="En-tteCar">
    <w:name w:val="En-tête Car"/>
    <w:basedOn w:val="Policepardfaut"/>
    <w:link w:val="En-tte"/>
    <w:uiPriority w:val="99"/>
    <w:rsid w:val="00B85D94"/>
    <w:rPr>
      <w:rFonts w:ascii="Calibri" w:eastAsia="Calibri" w:hAnsi="Calibri" w:cs="Times New Roman"/>
    </w:rPr>
  </w:style>
  <w:style w:type="paragraph" w:styleId="Pieddepage">
    <w:name w:val="footer"/>
    <w:basedOn w:val="Normal"/>
    <w:link w:val="PieddepageCar"/>
    <w:uiPriority w:val="99"/>
    <w:unhideWhenUsed/>
    <w:rsid w:val="00B85D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5D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2910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Arioli</dc:creator>
  <cp:keywords/>
  <dc:description/>
  <cp:lastModifiedBy>Nathalie Arioli</cp:lastModifiedBy>
  <cp:revision>2</cp:revision>
  <dcterms:created xsi:type="dcterms:W3CDTF">2021-02-02T08:41:00Z</dcterms:created>
  <dcterms:modified xsi:type="dcterms:W3CDTF">2021-02-02T08:41:00Z</dcterms:modified>
</cp:coreProperties>
</file>