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1E689D">
        <w:rPr>
          <w:rFonts w:ascii="Century Gothic" w:hAnsi="Century Gothic" w:cs="Arial"/>
          <w:b/>
          <w:bCs/>
          <w:smallCaps/>
          <w:sz w:val="24"/>
          <w:szCs w:val="20"/>
        </w:rPr>
        <w:t>reconstitution de carrière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AD2325" w:rsidRPr="00702CDA" w:rsidRDefault="001E689D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Pr="001E689D">
        <w:rPr>
          <w:rFonts w:cstheme="minorHAnsi"/>
          <w:sz w:val="18"/>
          <w:szCs w:val="16"/>
        </w:rPr>
        <w:t>la loi n° 68-1250 du 31 décembre 1968 relative à la prescription des créances sur l'Etat, les départements, les communes et les établissements publics</w:t>
      </w:r>
      <w:r>
        <w:rPr>
          <w:rFonts w:cstheme="minorHAnsi"/>
          <w:sz w:val="18"/>
          <w:szCs w:val="16"/>
        </w:rPr>
        <w:t>,</w:t>
      </w:r>
    </w:p>
    <w:p w:rsidR="001E689D" w:rsidRPr="00702CDA" w:rsidRDefault="001E689D" w:rsidP="001E689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>] portant statut particulier du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:rsidR="001E689D" w:rsidRPr="00702CDA" w:rsidRDefault="001E689D" w:rsidP="001E689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[</w:t>
      </w:r>
      <w:r w:rsidRPr="00702CDA">
        <w:rPr>
          <w:rFonts w:cstheme="minorHAnsi"/>
          <w:b/>
          <w:sz w:val="18"/>
          <w:szCs w:val="16"/>
        </w:rPr>
        <w:t>numéro du décret</w:t>
      </w:r>
      <w:r w:rsidRPr="00702CDA">
        <w:rPr>
          <w:rFonts w:cstheme="minorHAnsi"/>
          <w:sz w:val="18"/>
          <w:szCs w:val="16"/>
        </w:rPr>
        <w:t>] du [</w:t>
      </w:r>
      <w:r w:rsidRPr="00702CDA">
        <w:rPr>
          <w:rFonts w:cstheme="minorHAnsi"/>
          <w:b/>
          <w:sz w:val="18"/>
          <w:szCs w:val="16"/>
        </w:rPr>
        <w:t>date</w:t>
      </w:r>
      <w:r w:rsidRPr="00702CDA">
        <w:rPr>
          <w:rFonts w:cstheme="minorHAnsi"/>
          <w:sz w:val="18"/>
          <w:szCs w:val="16"/>
        </w:rPr>
        <w:t xml:space="preserve">] portant </w:t>
      </w:r>
      <w:r>
        <w:rPr>
          <w:rFonts w:cstheme="minorHAnsi"/>
          <w:sz w:val="18"/>
          <w:szCs w:val="16"/>
        </w:rPr>
        <w:t>échelonnement indiciaire applicable au</w:t>
      </w:r>
      <w:r w:rsidRPr="00702CDA">
        <w:rPr>
          <w:rFonts w:cstheme="minorHAnsi"/>
          <w:sz w:val="18"/>
          <w:szCs w:val="16"/>
        </w:rPr>
        <w:t xml:space="preserve"> cadre d'emplois des [</w:t>
      </w:r>
      <w:r w:rsidRPr="00702CDA">
        <w:rPr>
          <w:rFonts w:cstheme="minorHAnsi"/>
          <w:b/>
          <w:sz w:val="18"/>
          <w:szCs w:val="16"/>
        </w:rPr>
        <w:t>cadre d’emploi</w:t>
      </w:r>
      <w:r w:rsidRPr="00702CDA">
        <w:rPr>
          <w:rFonts w:cstheme="minorHAnsi"/>
          <w:sz w:val="18"/>
          <w:szCs w:val="16"/>
        </w:rPr>
        <w:t>],</w:t>
      </w:r>
    </w:p>
    <w:p w:rsidR="001E689D" w:rsidRPr="001E689D" w:rsidRDefault="001E689D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autorisant le rappel de traitement pour la période prescrite par la déchéance quadriennale, (</w:t>
      </w:r>
      <w:r>
        <w:rPr>
          <w:rFonts w:cstheme="minorHAnsi"/>
          <w:i/>
          <w:sz w:val="18"/>
          <w:szCs w:val="16"/>
        </w:rPr>
        <w:t>le cas échéant</w:t>
      </w:r>
      <w:r>
        <w:rPr>
          <w:rFonts w:cstheme="minorHAnsi"/>
          <w:sz w:val="18"/>
          <w:szCs w:val="16"/>
        </w:rPr>
        <w:t>)</w:t>
      </w:r>
      <w:r>
        <w:rPr>
          <w:rStyle w:val="Appelnotedebasdep"/>
          <w:rFonts w:cstheme="minorHAnsi"/>
          <w:sz w:val="18"/>
          <w:szCs w:val="16"/>
        </w:rPr>
        <w:footnoteReference w:id="1"/>
      </w:r>
    </w:p>
    <w:p w:rsidR="001036A3" w:rsidRPr="001E689D" w:rsidRDefault="00677F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 w:rsidR="001E689D">
        <w:rPr>
          <w:rFonts w:cstheme="minorHAnsi"/>
          <w:sz w:val="18"/>
          <w:szCs w:val="16"/>
        </w:rPr>
        <w:t>portant [</w:t>
      </w:r>
      <w:r w:rsidR="001E689D">
        <w:rPr>
          <w:rFonts w:cstheme="minorHAnsi"/>
          <w:b/>
          <w:sz w:val="18"/>
          <w:szCs w:val="16"/>
        </w:rPr>
        <w:t>nature de l’arrêté : avancement, reclassement, nomination, etc.</w:t>
      </w:r>
      <w:r w:rsidR="001E689D">
        <w:rPr>
          <w:rFonts w:cstheme="minorHAnsi"/>
          <w:sz w:val="18"/>
          <w:szCs w:val="16"/>
        </w:rPr>
        <w:t>] de M. ou Mme [</w:t>
      </w:r>
      <w:r w:rsidR="001E689D">
        <w:rPr>
          <w:rFonts w:cstheme="minorHAnsi"/>
          <w:b/>
          <w:sz w:val="18"/>
          <w:szCs w:val="16"/>
        </w:rPr>
        <w:t>Nom, Prénom</w:t>
      </w:r>
      <w:r w:rsidR="001E689D">
        <w:rPr>
          <w:rFonts w:cstheme="minorHAnsi"/>
          <w:sz w:val="18"/>
          <w:szCs w:val="16"/>
        </w:rPr>
        <w:t>]</w:t>
      </w:r>
      <w:r w:rsidR="001036A3">
        <w:rPr>
          <w:rFonts w:cstheme="minorHAnsi"/>
          <w:sz w:val="18"/>
          <w:szCs w:val="16"/>
        </w:rPr>
        <w:t>,</w:t>
      </w:r>
      <w:r w:rsidR="001E689D">
        <w:rPr>
          <w:rFonts w:cstheme="minorHAnsi"/>
          <w:sz w:val="18"/>
          <w:szCs w:val="16"/>
        </w:rPr>
        <w:t xml:space="preserve"> (</w:t>
      </w:r>
      <w:r w:rsidR="001E689D">
        <w:rPr>
          <w:rFonts w:cstheme="minorHAnsi"/>
          <w:i/>
          <w:sz w:val="18"/>
          <w:szCs w:val="16"/>
        </w:rPr>
        <w:t>viser tous les arrêtés qui doivent être retirés</w:t>
      </w:r>
      <w:r w:rsidR="001E689D">
        <w:rPr>
          <w:rFonts w:cstheme="minorHAnsi"/>
          <w:sz w:val="18"/>
          <w:szCs w:val="16"/>
        </w:rPr>
        <w:t>)</w:t>
      </w:r>
    </w:p>
    <w:p w:rsidR="000E1A9E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que </w:t>
      </w:r>
      <w:r w:rsidR="001E689D">
        <w:rPr>
          <w:rFonts w:cstheme="minorHAnsi"/>
          <w:sz w:val="18"/>
          <w:szCs w:val="16"/>
        </w:rPr>
        <w:t>[</w:t>
      </w:r>
      <w:r w:rsidR="001E689D">
        <w:rPr>
          <w:rFonts w:cstheme="minorHAnsi"/>
          <w:b/>
          <w:sz w:val="18"/>
          <w:szCs w:val="16"/>
        </w:rPr>
        <w:t>motif de la reconstitution : non prise en compte de l’ancienneté lors de la nomination, erreur dans la carrière, décision de justice, etc.</w:t>
      </w:r>
      <w:r w:rsidR="001E689D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1E689D" w:rsidRPr="000E1A9E" w:rsidRDefault="001E689D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qu’il convient de procéder à la régularisation de la carrière de l’intéressé(e),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28085B" w:rsidP="005D0EE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La </w:t>
            </w:r>
            <w:r w:rsidR="005D0EEC">
              <w:rPr>
                <w:rFonts w:ascii="Calibri" w:hAnsi="Calibri" w:cs="Calibri"/>
                <w:sz w:val="18"/>
              </w:rPr>
              <w:t>situation</w:t>
            </w:r>
            <w:r w:rsidR="00677F9E">
              <w:rPr>
                <w:rFonts w:ascii="Calibri" w:hAnsi="Calibri" w:cs="Calibri"/>
                <w:sz w:val="18"/>
              </w:rPr>
              <w:t xml:space="preserve">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5D0EEC">
              <w:rPr>
                <w:rFonts w:ascii="Calibri" w:hAnsi="Calibri" w:cs="Calibri"/>
                <w:sz w:val="18"/>
              </w:rPr>
              <w:t xml:space="preserve">] </w:t>
            </w:r>
            <w:r w:rsidR="00677F9E">
              <w:rPr>
                <w:rFonts w:ascii="Calibri" w:hAnsi="Calibri" w:cs="Calibri"/>
                <w:sz w:val="18"/>
              </w:rPr>
              <w:t xml:space="preserve">est </w:t>
            </w:r>
            <w:r w:rsidR="005D0EEC">
              <w:rPr>
                <w:rFonts w:ascii="Calibri" w:hAnsi="Calibri" w:cs="Calibri"/>
                <w:sz w:val="18"/>
              </w:rPr>
              <w:t>révisée de la manière suivante :</w:t>
            </w:r>
          </w:p>
          <w:p w:rsidR="005D0EEC" w:rsidRDefault="005D0EEC" w:rsidP="005D0EEC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[</w:t>
            </w:r>
            <w:r>
              <w:rPr>
                <w:rFonts w:ascii="Calibri" w:hAnsi="Calibri" w:cs="Calibri"/>
                <w:b/>
                <w:sz w:val="18"/>
              </w:rPr>
              <w:t>événement de carrière : promu, reclassé, nommé, intégré, etc.</w:t>
            </w:r>
            <w:r>
              <w:rPr>
                <w:rFonts w:ascii="Calibri" w:hAnsi="Calibri" w:cs="Calibri"/>
                <w:sz w:val="18"/>
              </w:rPr>
              <w:t>]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du grade de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 –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5D0EEC" w:rsidRDefault="005D0EEC" w:rsidP="005D0EEC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[</w:t>
            </w:r>
            <w:r>
              <w:rPr>
                <w:rFonts w:ascii="Calibri" w:hAnsi="Calibri" w:cs="Calibri"/>
                <w:b/>
                <w:sz w:val="18"/>
              </w:rPr>
              <w:t>événement de carrière : promu, reclassé, nommé, intégré, etc.</w:t>
            </w:r>
            <w:r>
              <w:rPr>
                <w:rFonts w:ascii="Calibri" w:hAnsi="Calibri" w:cs="Calibri"/>
                <w:sz w:val="18"/>
              </w:rPr>
              <w:t>]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du grade de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 –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5D0EEC" w:rsidRDefault="005D0EEC" w:rsidP="005D0EEC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est [</w:t>
            </w:r>
            <w:r>
              <w:rPr>
                <w:rFonts w:ascii="Calibri" w:hAnsi="Calibri" w:cs="Calibri"/>
                <w:b/>
                <w:sz w:val="18"/>
              </w:rPr>
              <w:t>événement de carrière : promu, reclassé, nommé, intégré, etc.</w:t>
            </w:r>
            <w:r>
              <w:rPr>
                <w:rFonts w:ascii="Calibri" w:hAnsi="Calibri" w:cs="Calibri"/>
                <w:sz w:val="18"/>
              </w:rPr>
              <w:t>] au [</w:t>
            </w:r>
            <w:r>
              <w:rPr>
                <w:rFonts w:ascii="Calibri" w:hAnsi="Calibri" w:cs="Calibri"/>
                <w:b/>
                <w:sz w:val="18"/>
              </w:rPr>
              <w:t>échelon</w:t>
            </w:r>
            <w:r>
              <w:rPr>
                <w:rFonts w:ascii="Calibri" w:hAnsi="Calibri" w:cs="Calibri"/>
                <w:sz w:val="18"/>
              </w:rPr>
              <w:t>] échelon du grade de [</w:t>
            </w:r>
            <w:r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 –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5D0EEC" w:rsidRPr="005D0EEC" w:rsidRDefault="005D0EEC" w:rsidP="005D0EEC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Etc.</w:t>
            </w:r>
          </w:p>
          <w:p w:rsidR="005D0EEC" w:rsidRPr="00E81381" w:rsidRDefault="005D0EEC" w:rsidP="005D0EE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5D0EEC">
              <w:rPr>
                <w:rFonts w:ascii="Calibri" w:hAnsi="Calibri" w:cs="Calibri"/>
                <w:sz w:val="18"/>
              </w:rPr>
              <w:t>bénéficiera du rappel de traitement correspondant à sa nouvelle situation pour la période du [</w:t>
            </w:r>
            <w:r w:rsidR="005D0EEC">
              <w:rPr>
                <w:rFonts w:ascii="Calibri" w:hAnsi="Calibri" w:cs="Calibri"/>
                <w:b/>
                <w:sz w:val="18"/>
              </w:rPr>
              <w:t>date</w:t>
            </w:r>
            <w:r w:rsidR="005D0EEC">
              <w:rPr>
                <w:rFonts w:ascii="Calibri" w:hAnsi="Calibri" w:cs="Calibri"/>
                <w:sz w:val="18"/>
              </w:rPr>
              <w:t>] à ce jour, sur la base des indices suivants :</w:t>
            </w:r>
          </w:p>
          <w:p w:rsidR="005D0EEC" w:rsidRDefault="005D0EEC" w:rsidP="005D0EEC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 –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</w:t>
            </w:r>
            <w:r>
              <w:rPr>
                <w:rFonts w:ascii="Calibri" w:hAnsi="Calibri" w:cs="Calibri"/>
                <w:sz w:val="18"/>
              </w:rPr>
              <w:t xml:space="preserve">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au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5D0EEC" w:rsidRDefault="005D0EEC" w:rsidP="005D0EEC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 –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au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5D0EEC" w:rsidRDefault="005D0EEC" w:rsidP="005D0EEC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IB [</w:t>
            </w:r>
            <w:r>
              <w:rPr>
                <w:rFonts w:ascii="Calibri" w:hAnsi="Calibri" w:cs="Calibri"/>
                <w:b/>
                <w:sz w:val="18"/>
              </w:rPr>
              <w:t>IB</w:t>
            </w:r>
            <w:r>
              <w:rPr>
                <w:rFonts w:ascii="Calibri" w:hAnsi="Calibri" w:cs="Calibri"/>
                <w:sz w:val="18"/>
              </w:rPr>
              <w:t>] – IM [</w:t>
            </w:r>
            <w:r>
              <w:rPr>
                <w:rFonts w:ascii="Calibri" w:hAnsi="Calibri" w:cs="Calibri"/>
                <w:b/>
                <w:sz w:val="18"/>
              </w:rPr>
              <w:t>IM</w:t>
            </w:r>
            <w:r>
              <w:rPr>
                <w:rFonts w:ascii="Calibri" w:hAnsi="Calibri" w:cs="Calibri"/>
                <w:sz w:val="18"/>
              </w:rPr>
              <w:t>],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au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:rsidR="005D0EEC" w:rsidRPr="005D0EEC" w:rsidRDefault="005D0EEC" w:rsidP="0097365B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proofErr w:type="spellStart"/>
            <w:r w:rsidRPr="005D0EEC">
              <w:rPr>
                <w:rFonts w:ascii="Calibri" w:hAnsi="Calibri" w:cs="Calibri"/>
                <w:sz w:val="18"/>
              </w:rPr>
              <w:t>Etc</w:t>
            </w:r>
            <w:proofErr w:type="spellEnd"/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Default="005D0EEC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l'intéressé(e),</w:t>
            </w:r>
          </w:p>
          <w:p w:rsidR="005D0EEC" w:rsidRPr="00702CDA" w:rsidRDefault="005D0EEC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Transmis au représentant de l’État.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bookmarkStart w:id="0" w:name="_GoBack"/>
      <w:bookmarkEnd w:id="0"/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9D" w:rsidRDefault="001E689D" w:rsidP="001E689D">
      <w:pPr>
        <w:spacing w:after="0" w:line="240" w:lineRule="auto"/>
      </w:pPr>
      <w:r>
        <w:separator/>
      </w:r>
    </w:p>
  </w:endnote>
  <w:endnote w:type="continuationSeparator" w:id="0">
    <w:p w:rsidR="001E689D" w:rsidRDefault="001E689D" w:rsidP="001E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9D" w:rsidRDefault="001E689D" w:rsidP="001E689D">
      <w:pPr>
        <w:spacing w:after="0" w:line="240" w:lineRule="auto"/>
      </w:pPr>
      <w:r>
        <w:separator/>
      </w:r>
    </w:p>
  </w:footnote>
  <w:footnote w:type="continuationSeparator" w:id="0">
    <w:p w:rsidR="001E689D" w:rsidRDefault="001E689D" w:rsidP="001E689D">
      <w:pPr>
        <w:spacing w:after="0" w:line="240" w:lineRule="auto"/>
      </w:pPr>
      <w:r>
        <w:continuationSeparator/>
      </w:r>
    </w:p>
  </w:footnote>
  <w:footnote w:id="1">
    <w:p w:rsidR="001E689D" w:rsidRDefault="001E689D" w:rsidP="001E689D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L</w:t>
      </w:r>
      <w:r w:rsidRPr="001E689D">
        <w:t>a loi n° 68-1250 du 31 décembre 1968 précitée autorise, par dérogation, une collectivité à s’acquitter de sa dette pour les années antérieures à la date à laquelle la prescription quadriennale s’applique, en raison de circonstances particulières et notamment de la situation du créancier, ceci sous réserve que cette renonciation à la déchéance des dettes de la collectivité ait fait l’objet d’une décision de l’organe délibérant, motivée et approuvée</w:t>
      </w:r>
      <w:r>
        <w:t xml:space="preserve"> par le Représentant de l’Etat.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81775"/>
    <w:multiLevelType w:val="hybridMultilevel"/>
    <w:tmpl w:val="4BCEA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C6AF1"/>
    <w:rsid w:val="001E309B"/>
    <w:rsid w:val="001E689D"/>
    <w:rsid w:val="00216986"/>
    <w:rsid w:val="00232F1A"/>
    <w:rsid w:val="0028085B"/>
    <w:rsid w:val="002C7932"/>
    <w:rsid w:val="003520C3"/>
    <w:rsid w:val="00405B76"/>
    <w:rsid w:val="0052435D"/>
    <w:rsid w:val="005271CF"/>
    <w:rsid w:val="005400FF"/>
    <w:rsid w:val="0058103C"/>
    <w:rsid w:val="005D0EEC"/>
    <w:rsid w:val="005F195B"/>
    <w:rsid w:val="00655247"/>
    <w:rsid w:val="00677F9E"/>
    <w:rsid w:val="00690F87"/>
    <w:rsid w:val="00702CDA"/>
    <w:rsid w:val="00A17B90"/>
    <w:rsid w:val="00A35CCE"/>
    <w:rsid w:val="00A91285"/>
    <w:rsid w:val="00AD2325"/>
    <w:rsid w:val="00C10417"/>
    <w:rsid w:val="00C93136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55DE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68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68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E68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B8269-2E41-4EFB-8B21-BA6221F6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2022-05-25T09:35:00Z</dcterms:created>
  <dcterms:modified xsi:type="dcterms:W3CDTF">2022-05-25T10:01:00Z</dcterms:modified>
</cp:coreProperties>
</file>