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1F2E7C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900E02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1F2E7C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</w:t>
      </w:r>
    </w:p>
    <w:p w:rsidR="002C7932" w:rsidRPr="00677F9E" w:rsidRDefault="001F2E7C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1F2E7C">
        <w:rPr>
          <w:rFonts w:ascii="Century Gothic" w:hAnsi="Century Gothic" w:cs="Arial"/>
          <w:b/>
          <w:bCs/>
          <w:smallCaps/>
          <w:sz w:val="24"/>
          <w:szCs w:val="20"/>
        </w:rPr>
        <w:t>effectuer des études ou des recherches présentant un intérêt général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3152BB" w:rsidRPr="003152BB" w:rsidRDefault="003152BB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AF3C0D" w:rsidRDefault="00AF3C0D" w:rsidP="00AF3C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4C29A6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1F2E7C" w:rsidRPr="001F2E7C">
        <w:rPr>
          <w:rFonts w:cstheme="minorHAnsi"/>
          <w:sz w:val="18"/>
          <w:szCs w:val="16"/>
        </w:rPr>
        <w:t xml:space="preserve">effectuer des études ou des recherches présentant un intérêt général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3152BB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3152BB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3152BB" w:rsidRPr="00847B60" w:rsidRDefault="003152BB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="00847B60">
        <w:rPr>
          <w:rFonts w:cstheme="minorHAnsi"/>
          <w:sz w:val="18"/>
          <w:szCs w:val="16"/>
        </w:rPr>
        <w:t xml:space="preserve">, </w:t>
      </w:r>
      <w:r w:rsidR="00847B60"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F2E7C" w:rsidRPr="001F2E7C">
        <w:rPr>
          <w:rFonts w:cstheme="minorHAnsi"/>
          <w:sz w:val="18"/>
          <w:szCs w:val="16"/>
        </w:rPr>
        <w:t xml:space="preserve">effectuer des études ou des recherches présentant un intérêt général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1F2E7C">
        <w:rPr>
          <w:rFonts w:cstheme="minorHAnsi"/>
          <w:sz w:val="18"/>
          <w:szCs w:val="16"/>
        </w:rPr>
        <w:t xml:space="preserve">3 </w:t>
      </w:r>
      <w:r w:rsidR="007621E7">
        <w:rPr>
          <w:rFonts w:cstheme="minorHAnsi"/>
          <w:sz w:val="18"/>
          <w:szCs w:val="16"/>
        </w:rPr>
        <w:t xml:space="preserve">années </w:t>
      </w:r>
      <w:r w:rsidR="001F2E7C">
        <w:rPr>
          <w:rFonts w:cstheme="minorHAnsi"/>
          <w:sz w:val="18"/>
          <w:szCs w:val="16"/>
        </w:rPr>
        <w:t>renouvelables une fois</w:t>
      </w:r>
      <w:r w:rsidRPr="00DE72F7">
        <w:rPr>
          <w:rFonts w:cstheme="minorHAnsi"/>
          <w:sz w:val="18"/>
          <w:szCs w:val="16"/>
        </w:rPr>
        <w:t>,</w:t>
      </w:r>
    </w:p>
    <w:p w:rsidR="001F2E7C" w:rsidRPr="00A14948" w:rsidRDefault="001F2E7C" w:rsidP="001F2E7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 pendant sa période de disponibilité,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</w:p>
    <w:p w:rsidR="00847B60" w:rsidRPr="00847B60" w:rsidRDefault="00847B6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4C29A6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mise en disponibilité pour effectuer des études ou des recherches présentant un intérêt général de </w:t>
            </w:r>
            <w:r w:rsidR="001F2E7C" w:rsidRPr="003520C3">
              <w:rPr>
                <w:rFonts w:ascii="Calibri" w:hAnsi="Calibri" w:cs="Calibri"/>
                <w:sz w:val="18"/>
              </w:rPr>
              <w:t>M. ou Mme [</w:t>
            </w:r>
            <w:r w:rsidR="001F2E7C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1F2E7C">
              <w:rPr>
                <w:rFonts w:ascii="Calibri" w:hAnsi="Calibri" w:cs="Calibri"/>
                <w:sz w:val="18"/>
              </w:rPr>
              <w:t>],</w:t>
            </w:r>
            <w:r w:rsidR="001F2E7C" w:rsidRPr="003520C3">
              <w:rPr>
                <w:rFonts w:ascii="Calibri" w:hAnsi="Calibri" w:cs="Calibri"/>
                <w:sz w:val="18"/>
              </w:rPr>
              <w:t xml:space="preserve"> [</w:t>
            </w:r>
            <w:r w:rsidR="001F2E7C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1F2E7C">
              <w:rPr>
                <w:rFonts w:ascii="Calibri" w:hAnsi="Calibri" w:cs="Calibri"/>
                <w:sz w:val="18"/>
              </w:rPr>
              <w:t xml:space="preserve">], est </w:t>
            </w:r>
            <w:r>
              <w:rPr>
                <w:rFonts w:ascii="Calibri" w:hAnsi="Calibri" w:cs="Calibri"/>
                <w:sz w:val="18"/>
              </w:rPr>
              <w:t>renouvelée</w:t>
            </w:r>
            <w:r w:rsidR="001F2E7C">
              <w:rPr>
                <w:rFonts w:ascii="Calibri" w:hAnsi="Calibri" w:cs="Calibri"/>
                <w:sz w:val="18"/>
              </w:rPr>
              <w:t xml:space="preserve"> à compter du [</w:t>
            </w:r>
            <w:r w:rsidR="001F2E7C">
              <w:rPr>
                <w:rFonts w:ascii="Calibri" w:hAnsi="Calibri" w:cs="Calibri"/>
                <w:b/>
                <w:sz w:val="18"/>
              </w:rPr>
              <w:t>date</w:t>
            </w:r>
            <w:r w:rsidR="001F2E7C">
              <w:rPr>
                <w:rFonts w:ascii="Calibri" w:hAnsi="Calibri" w:cs="Calibri"/>
                <w:sz w:val="18"/>
              </w:rPr>
              <w:t>] pour une durée de [</w:t>
            </w:r>
            <w:r w:rsidR="001F2E7C">
              <w:rPr>
                <w:rFonts w:ascii="Calibri" w:hAnsi="Calibri" w:cs="Calibri"/>
                <w:b/>
                <w:sz w:val="18"/>
              </w:rPr>
              <w:t>durée</w:t>
            </w:r>
            <w:r w:rsidR="001F2E7C">
              <w:rPr>
                <w:rFonts w:ascii="Calibri" w:hAnsi="Calibri" w:cs="Calibri"/>
                <w:sz w:val="18"/>
              </w:rPr>
              <w:t>].</w:t>
            </w:r>
          </w:p>
          <w:p w:rsidR="001F2E7C" w:rsidRPr="00720471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Si, 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02232">
              <w:rPr>
                <w:rFonts w:ascii="Calibri" w:hAnsi="Calibri" w:cs="Calibri"/>
                <w:sz w:val="18"/>
              </w:rPr>
              <w:t>il (</w:t>
            </w:r>
            <w:r>
              <w:rPr>
                <w:rFonts w:ascii="Calibri" w:hAnsi="Calibri" w:cs="Calibri"/>
                <w:sz w:val="18"/>
              </w:rPr>
              <w:t>elle</w:t>
            </w:r>
            <w:r w:rsidR="00202232">
              <w:rPr>
                <w:rFonts w:ascii="Calibri" w:hAnsi="Calibri" w:cs="Calibri"/>
                <w:sz w:val="18"/>
              </w:rPr>
              <w:t>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847B60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847B60">
              <w:rPr>
                <w:rFonts w:ascii="Calibri" w:hAnsi="Calibri" w:cs="Calibri"/>
                <w:sz w:val="18"/>
              </w:rPr>
              <w:t>s avant le début</w:t>
            </w:r>
            <w:r w:rsidR="00847B60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847B60">
              <w:rPr>
                <w:rFonts w:ascii="Calibri" w:hAnsi="Calibri" w:cs="Calibri"/>
                <w:sz w:val="18"/>
              </w:rPr>
              <w:t>au terme d’un délai de deux mois</w:t>
            </w:r>
            <w:r w:rsidR="00847B60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1F2E7C" w:rsidRPr="003520C3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1F2E7C" w:rsidRPr="00EE274E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1F2E7C" w:rsidRPr="00EE274E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</w:t>
            </w:r>
            <w:bookmarkStart w:id="0" w:name="_GoBack"/>
            <w:bookmarkEnd w:id="0"/>
            <w:r w:rsidRPr="00EE274E">
              <w:rPr>
                <w:rFonts w:ascii="Calibri" w:hAnsi="Calibri" w:cs="Calibri"/>
                <w:sz w:val="18"/>
              </w:rPr>
              <w:t xml:space="preserve">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F2E7C" w:rsidRPr="00E81381" w:rsidTr="00E47FF0">
        <w:tc>
          <w:tcPr>
            <w:tcW w:w="1488" w:type="dxa"/>
          </w:tcPr>
          <w:p w:rsidR="001F2E7C" w:rsidRPr="009F4153" w:rsidRDefault="001F2E7C" w:rsidP="00E47F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1F2E7C" w:rsidRPr="00702CDA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1F2E7C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1F2E7C" w:rsidRPr="003520C3" w:rsidRDefault="001F2E7C" w:rsidP="00E47FF0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814" w:rsidRDefault="00B63814" w:rsidP="00992F41">
      <w:pPr>
        <w:spacing w:after="0" w:line="240" w:lineRule="auto"/>
      </w:pPr>
      <w:r>
        <w:separator/>
      </w:r>
    </w:p>
  </w:endnote>
  <w:endnote w:type="continuationSeparator" w:id="0">
    <w:p w:rsidR="00B63814" w:rsidRDefault="00B63814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814" w:rsidRDefault="00B63814" w:rsidP="00992F41">
      <w:pPr>
        <w:spacing w:after="0" w:line="240" w:lineRule="auto"/>
      </w:pPr>
      <w:r>
        <w:separator/>
      </w:r>
    </w:p>
  </w:footnote>
  <w:footnote w:type="continuationSeparator" w:id="0">
    <w:p w:rsidR="00B63814" w:rsidRDefault="00B63814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1F2E7C"/>
    <w:rsid w:val="00202232"/>
    <w:rsid w:val="00215D35"/>
    <w:rsid w:val="00216986"/>
    <w:rsid w:val="00232F1A"/>
    <w:rsid w:val="00264A27"/>
    <w:rsid w:val="0028085B"/>
    <w:rsid w:val="002C7932"/>
    <w:rsid w:val="003152BB"/>
    <w:rsid w:val="003520C3"/>
    <w:rsid w:val="00405B76"/>
    <w:rsid w:val="004C29A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621E7"/>
    <w:rsid w:val="00847B60"/>
    <w:rsid w:val="008E4C95"/>
    <w:rsid w:val="00900E02"/>
    <w:rsid w:val="00992F41"/>
    <w:rsid w:val="00A06E18"/>
    <w:rsid w:val="00A14948"/>
    <w:rsid w:val="00A17B90"/>
    <w:rsid w:val="00A75050"/>
    <w:rsid w:val="00A91285"/>
    <w:rsid w:val="00AD2325"/>
    <w:rsid w:val="00AF3C0D"/>
    <w:rsid w:val="00B63814"/>
    <w:rsid w:val="00C10417"/>
    <w:rsid w:val="00C4069F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62D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2022-06-01T11:27:00Z</dcterms:created>
  <dcterms:modified xsi:type="dcterms:W3CDTF">2022-06-01T11:31:00Z</dcterms:modified>
</cp:coreProperties>
</file>