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rsidP="00CD19A8">
      <w:pPr>
        <w:spacing w:after="0" w:line="259" w:lineRule="auto"/>
        <w:ind w:right="9"/>
        <w:jc w:val="center"/>
      </w:pPr>
      <w:r>
        <w:rPr>
          <w:b/>
        </w:rPr>
        <w:t>(</w:t>
      </w:r>
      <w:r w:rsidR="00CC1872" w:rsidRPr="00CC1872">
        <w:rPr>
          <w:b/>
          <w:i/>
        </w:rPr>
        <w:t>Pour un emploi à temps non-complet inférieur à un mi-temps</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CC1872">
        <w:rPr>
          <w:b/>
        </w:rPr>
        <w:t>5</w:t>
      </w:r>
      <w:r w:rsidR="00467F80">
        <w:rPr>
          <w:b/>
        </w:rPr>
        <w:t>°</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notamment son article L.332-8 </w:t>
      </w:r>
      <w:r w:rsidR="00DA3FA3">
        <w:rPr>
          <w:rFonts w:ascii="Calibri" w:eastAsia="Calibri" w:hAnsi="Calibri" w:cs="Calibri"/>
          <w:color w:val="auto"/>
          <w:sz w:val="18"/>
          <w:szCs w:val="18"/>
          <w:lang w:eastAsia="en-US"/>
        </w:rPr>
        <w:t>5</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6218BD" w:rsidRPr="0045702F" w:rsidRDefault="00F5369E" w:rsidP="00DA3FA3">
      <w:pPr>
        <w:pStyle w:val="VuConsidrant"/>
        <w:spacing w:after="60"/>
        <w:rPr>
          <w:rFonts w:asciiTheme="minorHAnsi" w:hAnsiTheme="minorHAnsi" w:cstheme="minorHAnsi"/>
          <w:sz w:val="18"/>
          <w:szCs w:val="18"/>
        </w:rPr>
      </w:pPr>
      <w:r w:rsidRPr="00F5369E">
        <w:rPr>
          <w:rFonts w:asciiTheme="minorHAnsi" w:hAnsiTheme="minorHAnsi" w:cstheme="minorHAnsi"/>
          <w:sz w:val="18"/>
          <w:szCs w:val="18"/>
        </w:rPr>
        <w:t>Considérant que le bon fonctionnement du service implique le recrutement d’un agent contractuel à temps non complet pour une durée hebdomadaire de [</w:t>
      </w:r>
      <w:r w:rsidRPr="00F5369E">
        <w:rPr>
          <w:rFonts w:asciiTheme="minorHAnsi" w:hAnsiTheme="minorHAnsi" w:cstheme="minorHAnsi"/>
          <w:b/>
          <w:sz w:val="18"/>
          <w:szCs w:val="18"/>
        </w:rPr>
        <w:t>nombre d’heures</w:t>
      </w:r>
      <w:r w:rsidRPr="00F5369E">
        <w:rPr>
          <w:rFonts w:asciiTheme="minorHAnsi" w:hAnsiTheme="minorHAnsi" w:cstheme="minorHAnsi"/>
          <w:sz w:val="18"/>
          <w:szCs w:val="18"/>
        </w:rPr>
        <w:t>]</w:t>
      </w:r>
      <w:r w:rsidR="00467F80">
        <w:rPr>
          <w:rFonts w:asciiTheme="minorHAnsi" w:hAnsiTheme="minorHAnsi" w:cstheme="minorHAnsi"/>
          <w:sz w:val="18"/>
          <w:szCs w:val="18"/>
        </w:rPr>
        <w:t>,</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1F2155">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1F2155">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1F2155"/>
    <w:rsid w:val="002D32FB"/>
    <w:rsid w:val="003259C2"/>
    <w:rsid w:val="003645CB"/>
    <w:rsid w:val="00424F67"/>
    <w:rsid w:val="0045702F"/>
    <w:rsid w:val="00467F80"/>
    <w:rsid w:val="004D2F41"/>
    <w:rsid w:val="006218BD"/>
    <w:rsid w:val="008411BF"/>
    <w:rsid w:val="00851F13"/>
    <w:rsid w:val="00866EEB"/>
    <w:rsid w:val="00885626"/>
    <w:rsid w:val="00C1223F"/>
    <w:rsid w:val="00CC1872"/>
    <w:rsid w:val="00CD19A8"/>
    <w:rsid w:val="00D80371"/>
    <w:rsid w:val="00DA3FA3"/>
    <w:rsid w:val="00F5369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0F2"/>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9228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2022-08-22T13:09:00Z</dcterms:created>
  <dcterms:modified xsi:type="dcterms:W3CDTF">2022-08-23T09:45:00Z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