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rsidP="005D4F3D">
      <w:pPr>
        <w:spacing w:after="0" w:line="259" w:lineRule="auto"/>
        <w:ind w:right="9"/>
        <w:jc w:val="center"/>
      </w:pPr>
      <w:r>
        <w:rPr>
          <w:b/>
        </w:rPr>
        <w:t>(</w:t>
      </w:r>
      <w:r w:rsidR="00DB1471" w:rsidRPr="00DB1471">
        <w:rPr>
          <w:b/>
          <w:i/>
        </w:rPr>
        <w:t xml:space="preserve">Contrat à durée </w:t>
      </w:r>
      <w:r w:rsidR="00BC5C52">
        <w:rPr>
          <w:b/>
          <w:i/>
        </w:rPr>
        <w:t>déterminée</w:t>
      </w:r>
      <w:r w:rsidR="00DB1471" w:rsidRPr="00DB1471">
        <w:rPr>
          <w:b/>
          <w:i/>
        </w:rPr>
        <w:t xml:space="preserve"> </w:t>
      </w:r>
      <w:r w:rsidR="00F955FE">
        <w:rPr>
          <w:b/>
          <w:i/>
        </w:rPr>
        <w:t>suite à transfert de compétence depuis une entité économique employant des salariés de droit privé</w:t>
      </w:r>
      <w:r>
        <w:rPr>
          <w:b/>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w:t>
      </w:r>
      <w:r w:rsidR="00F955FE">
        <w:rPr>
          <w:b/>
        </w:rPr>
        <w:t>1224-3</w:t>
      </w:r>
    </w:p>
    <w:p w:rsidR="006218BD" w:rsidRDefault="00C1223F">
      <w:pPr>
        <w:spacing w:after="0" w:line="259" w:lineRule="auto"/>
        <w:ind w:right="10"/>
        <w:jc w:val="center"/>
      </w:pPr>
      <w:r>
        <w:rPr>
          <w:b/>
        </w:rPr>
        <w:t xml:space="preserve">DU CODE </w:t>
      </w:r>
      <w:r w:rsidR="00F955FE">
        <w:rPr>
          <w:b/>
        </w:rPr>
        <w:t>DU TRAVAIL</w:t>
      </w:r>
    </w:p>
    <w:p w:rsidR="006218BD" w:rsidRDefault="003645CB">
      <w:pPr>
        <w:spacing w:after="0" w:line="259" w:lineRule="auto"/>
        <w:ind w:left="55" w:firstLine="0"/>
        <w:jc w:val="center"/>
      </w:pPr>
      <w:r>
        <w:rPr>
          <w:b/>
        </w:rPr>
        <w:t xml:space="preserve"> </w:t>
      </w:r>
    </w:p>
    <w:p w:rsidR="000D3D4B" w:rsidRDefault="000D3D4B" w:rsidP="000D3D4B">
      <w:pPr>
        <w:pStyle w:val="VuConsidrant"/>
        <w:spacing w:after="60"/>
        <w:rPr>
          <w:rFonts w:asciiTheme="minorHAnsi" w:hAnsiTheme="minorHAnsi" w:cstheme="minorHAnsi"/>
          <w:i/>
          <w:sz w:val="18"/>
          <w:szCs w:val="18"/>
        </w:rPr>
      </w:pPr>
      <w:r w:rsidRPr="00D965BE">
        <w:rPr>
          <w:rFonts w:asciiTheme="minorHAnsi" w:hAnsiTheme="minorHAnsi" w:cstheme="minorHAnsi"/>
          <w:b/>
          <w:i/>
          <w:sz w:val="18"/>
          <w:szCs w:val="18"/>
        </w:rPr>
        <w:t>Rappel</w:t>
      </w:r>
      <w:r w:rsidRPr="00244D4E">
        <w:rPr>
          <w:rFonts w:asciiTheme="minorHAnsi" w:hAnsiTheme="minorHAnsi" w:cstheme="minorHAnsi"/>
          <w:i/>
          <w:sz w:val="18"/>
          <w:szCs w:val="18"/>
        </w:rPr>
        <w:t xml:space="preserve"> : </w:t>
      </w:r>
      <w:r w:rsidR="00F955FE" w:rsidRPr="00F955FE">
        <w:rPr>
          <w:rFonts w:asciiTheme="minorHAnsi" w:hAnsiTheme="minorHAnsi" w:cstheme="minorHAnsi"/>
          <w:i/>
          <w:sz w:val="18"/>
          <w:szCs w:val="18"/>
        </w:rPr>
        <w:t>Lorsque l'activité d'une entité économique employant des salariés de droit privé est, par transfert de cette entité, reprise par une personne publique dans le cadre d'un service public administratif, il appartient à cette personne publique de proposer à ces salariés un contrat de droit public, à durée déterminée ou indéterminée selon la nature du contrat dont ils sont titulaires.</w:t>
      </w:r>
    </w:p>
    <w:p w:rsidR="00F955FE" w:rsidRPr="00F955FE" w:rsidRDefault="00F955FE" w:rsidP="00F955FE">
      <w:pPr>
        <w:pStyle w:val="VuConsidrant"/>
        <w:spacing w:after="60"/>
        <w:rPr>
          <w:rFonts w:asciiTheme="minorHAnsi" w:hAnsiTheme="minorHAnsi" w:cstheme="minorHAnsi"/>
          <w:i/>
          <w:sz w:val="18"/>
          <w:szCs w:val="18"/>
        </w:rPr>
      </w:pPr>
      <w:r w:rsidRPr="00F955FE">
        <w:rPr>
          <w:rFonts w:asciiTheme="minorHAnsi" w:hAnsiTheme="minorHAnsi" w:cstheme="minorHAnsi"/>
          <w:i/>
          <w:sz w:val="18"/>
          <w:szCs w:val="18"/>
        </w:rPr>
        <w:t xml:space="preserve">Sauf disposition légale ou conditions générales de rémunération et d'emploi des agents non titulaires de la personne publique contraires, </w:t>
      </w:r>
      <w:r w:rsidRPr="00D965BE">
        <w:rPr>
          <w:rFonts w:asciiTheme="minorHAnsi" w:hAnsiTheme="minorHAnsi" w:cstheme="minorHAnsi"/>
          <w:i/>
          <w:sz w:val="18"/>
          <w:szCs w:val="18"/>
          <w:u w:val="single"/>
        </w:rPr>
        <w:t>le contrat qu'elle propose reprend les clauses substantielles du contrat dont les salariés sont titulaires, en particulier celles qui concernent la rémunération</w:t>
      </w:r>
      <w:r>
        <w:rPr>
          <w:rFonts w:asciiTheme="minorHAnsi" w:hAnsiTheme="minorHAnsi" w:cstheme="minorHAnsi"/>
          <w:i/>
          <w:sz w:val="18"/>
          <w:szCs w:val="18"/>
        </w:rPr>
        <w:t>.</w:t>
      </w:r>
    </w:p>
    <w:p w:rsidR="00F955FE" w:rsidRPr="00F955FE" w:rsidRDefault="00F955FE" w:rsidP="00F955FE">
      <w:pPr>
        <w:pStyle w:val="VuConsidrant"/>
        <w:spacing w:after="60"/>
        <w:rPr>
          <w:rFonts w:asciiTheme="minorHAnsi" w:hAnsiTheme="minorHAnsi" w:cstheme="minorHAnsi"/>
          <w:i/>
          <w:sz w:val="18"/>
          <w:szCs w:val="18"/>
        </w:rPr>
      </w:pPr>
      <w:r w:rsidRPr="00F955FE">
        <w:rPr>
          <w:rFonts w:asciiTheme="minorHAnsi" w:hAnsiTheme="minorHAnsi" w:cstheme="minorHAnsi"/>
          <w:i/>
          <w:sz w:val="18"/>
          <w:szCs w:val="18"/>
        </w:rPr>
        <w:t xml:space="preserve">Les services accomplis au sein de l'entité économique d'origine sont assimilés à des services accomplis au sein de </w:t>
      </w:r>
      <w:r>
        <w:rPr>
          <w:rFonts w:asciiTheme="minorHAnsi" w:hAnsiTheme="minorHAnsi" w:cstheme="minorHAnsi"/>
          <w:i/>
          <w:sz w:val="18"/>
          <w:szCs w:val="18"/>
        </w:rPr>
        <w:t>la personne publique d'accueil.</w:t>
      </w:r>
    </w:p>
    <w:p w:rsidR="00F955FE" w:rsidRPr="00244D4E" w:rsidRDefault="00F955FE" w:rsidP="00F955FE">
      <w:pPr>
        <w:pStyle w:val="VuConsidrant"/>
        <w:spacing w:after="60"/>
        <w:rPr>
          <w:rFonts w:asciiTheme="minorHAnsi" w:hAnsiTheme="minorHAnsi" w:cstheme="minorHAnsi"/>
          <w:i/>
          <w:sz w:val="18"/>
          <w:szCs w:val="18"/>
        </w:rPr>
      </w:pPr>
      <w:r w:rsidRPr="00F955FE">
        <w:rPr>
          <w:rFonts w:asciiTheme="minorHAnsi" w:hAnsiTheme="minorHAnsi" w:cstheme="minorHAnsi"/>
          <w:i/>
          <w:sz w:val="18"/>
          <w:szCs w:val="18"/>
        </w:rPr>
        <w:t>En cas de refus des salariés d'accepter le contrat proposé, leur contrat prend fin de plein droit. La personne publique applique les dispositions relatives aux agents licenciés prévues par le droit du travail et par leur contrat.</w:t>
      </w:r>
    </w:p>
    <w:p w:rsidR="006218BD" w:rsidRDefault="006218BD">
      <w:pPr>
        <w:spacing w:after="139" w:line="232" w:lineRule="auto"/>
        <w:ind w:left="0" w:right="4906" w:firstLine="0"/>
        <w:jc w:val="left"/>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866EEB" w:rsidRPr="00866EEB">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F955FE" w:rsidRDefault="00F955FE"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Pr>
          <w:rFonts w:ascii="Calibri" w:eastAsia="Calibri" w:hAnsi="Calibri" w:cs="Calibri"/>
          <w:color w:val="auto"/>
          <w:sz w:val="18"/>
          <w:szCs w:val="18"/>
          <w:lang w:eastAsia="en-US"/>
        </w:rPr>
        <w:t>Vu le code du travail, notamment son article L.1224-3,</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le code général de la fonction publique,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0D3D4B" w:rsidRDefault="000D3D4B"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BC5C52" w:rsidRPr="00DA66AA" w:rsidRDefault="00BC5C52" w:rsidP="00BC5C52">
      <w:pPr>
        <w:pStyle w:val="Default"/>
        <w:spacing w:after="60"/>
        <w:jc w:val="both"/>
        <w:rPr>
          <w:rFonts w:asciiTheme="minorHAnsi" w:hAnsiTheme="minorHAnsi" w:cstheme="minorHAnsi"/>
          <w:color w:val="auto"/>
          <w:sz w:val="18"/>
          <w:szCs w:val="18"/>
        </w:rPr>
      </w:pPr>
      <w:r w:rsidRPr="00DA66AA">
        <w:rPr>
          <w:rFonts w:asciiTheme="minorHAnsi" w:hAnsiTheme="minorHAnsi" w:cstheme="minorHAnsi"/>
          <w:color w:val="auto"/>
          <w:sz w:val="18"/>
          <w:szCs w:val="18"/>
        </w:rPr>
        <w:t>Vu la déclaration de vacance d’emploi auprès du centre de gestion</w:t>
      </w:r>
      <w:r>
        <w:rPr>
          <w:rFonts w:asciiTheme="minorHAnsi" w:hAnsiTheme="minorHAnsi" w:cstheme="minorHAnsi"/>
          <w:color w:val="auto"/>
          <w:sz w:val="18"/>
          <w:szCs w:val="18"/>
        </w:rPr>
        <w:t xml:space="preserve"> en date du [</w:t>
      </w:r>
      <w:r>
        <w:rPr>
          <w:rFonts w:asciiTheme="minorHAnsi" w:hAnsiTheme="minorHAnsi" w:cstheme="minorHAnsi"/>
          <w:b/>
          <w:color w:val="auto"/>
          <w:sz w:val="18"/>
          <w:szCs w:val="18"/>
        </w:rPr>
        <w:t>date</w:t>
      </w:r>
      <w:r>
        <w:rPr>
          <w:rFonts w:asciiTheme="minorHAnsi" w:hAnsiTheme="minorHAnsi" w:cstheme="minorHAnsi"/>
          <w:color w:val="auto"/>
          <w:sz w:val="18"/>
          <w:szCs w:val="18"/>
        </w:rPr>
        <w:t>]</w:t>
      </w:r>
      <w:r w:rsidRPr="00DA66AA">
        <w:rPr>
          <w:rFonts w:asciiTheme="minorHAnsi" w:hAnsiTheme="minorHAnsi" w:cstheme="minorHAnsi"/>
          <w:color w:val="auto"/>
          <w:sz w:val="18"/>
          <w:szCs w:val="18"/>
        </w:rPr>
        <w:t xml:space="preserve">, </w:t>
      </w:r>
    </w:p>
    <w:p w:rsidR="00E81905" w:rsidRPr="00E81905" w:rsidRDefault="00E81905"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Vu le contrat de travail établi en date du [</w:t>
      </w:r>
      <w:r>
        <w:rPr>
          <w:rFonts w:asciiTheme="minorHAnsi" w:eastAsia="Times New Roman" w:hAnsiTheme="minorHAnsi" w:cstheme="minorHAnsi"/>
          <w:b/>
          <w:color w:val="auto"/>
          <w:sz w:val="18"/>
          <w:szCs w:val="18"/>
        </w:rPr>
        <w:t>date</w:t>
      </w:r>
      <w:r>
        <w:rPr>
          <w:rFonts w:asciiTheme="minorHAnsi" w:eastAsia="Times New Roman" w:hAnsiTheme="minorHAnsi" w:cstheme="minorHAnsi"/>
          <w:color w:val="auto"/>
          <w:sz w:val="18"/>
          <w:szCs w:val="18"/>
        </w:rPr>
        <w:t>] pour une durée indéterminée entre M. ou Mme [</w:t>
      </w:r>
      <w:r>
        <w:rPr>
          <w:rFonts w:asciiTheme="minorHAnsi" w:eastAsia="Times New Roman" w:hAnsiTheme="minorHAnsi" w:cstheme="minorHAnsi"/>
          <w:b/>
          <w:color w:val="auto"/>
          <w:sz w:val="18"/>
          <w:szCs w:val="18"/>
        </w:rPr>
        <w:t>Nom, Prénom</w:t>
      </w:r>
      <w:r>
        <w:rPr>
          <w:rFonts w:asciiTheme="minorHAnsi" w:eastAsia="Times New Roman" w:hAnsiTheme="minorHAnsi" w:cstheme="minorHAnsi"/>
          <w:color w:val="auto"/>
          <w:sz w:val="18"/>
          <w:szCs w:val="18"/>
        </w:rPr>
        <w:t>] et [</w:t>
      </w:r>
      <w:r>
        <w:rPr>
          <w:rFonts w:asciiTheme="minorHAnsi" w:eastAsia="Times New Roman" w:hAnsiTheme="minorHAnsi" w:cstheme="minorHAnsi"/>
          <w:b/>
          <w:color w:val="auto"/>
          <w:sz w:val="18"/>
          <w:szCs w:val="18"/>
        </w:rPr>
        <w:t>nom de l’organisme dont est issue la compétence transférée</w:t>
      </w:r>
      <w:r>
        <w:rPr>
          <w:rFonts w:asciiTheme="minorHAnsi" w:eastAsia="Times New Roman" w:hAnsiTheme="minorHAnsi" w:cstheme="minorHAnsi"/>
          <w:color w:val="auto"/>
          <w:sz w:val="18"/>
          <w:szCs w:val="18"/>
        </w:rPr>
        <w:t>],</w:t>
      </w:r>
    </w:p>
    <w:p w:rsid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sidRPr="000D3D4B">
        <w:rPr>
          <w:rFonts w:asciiTheme="minorHAnsi" w:eastAsia="Times New Roman" w:hAnsiTheme="minorHAnsi" w:cstheme="minorHAnsi"/>
          <w:color w:val="auto"/>
          <w:sz w:val="18"/>
          <w:szCs w:val="18"/>
        </w:rPr>
        <w:t xml:space="preserve">Considérant que </w:t>
      </w:r>
      <w:r w:rsidR="00E81905">
        <w:rPr>
          <w:rFonts w:asciiTheme="minorHAnsi" w:eastAsia="Times New Roman" w:hAnsiTheme="minorHAnsi" w:cstheme="minorHAnsi"/>
          <w:color w:val="auto"/>
          <w:sz w:val="18"/>
          <w:szCs w:val="18"/>
        </w:rPr>
        <w:t>l’activité de [</w:t>
      </w:r>
      <w:r w:rsidR="00E81905">
        <w:rPr>
          <w:rFonts w:asciiTheme="minorHAnsi" w:eastAsia="Times New Roman" w:hAnsiTheme="minorHAnsi" w:cstheme="minorHAnsi"/>
          <w:b/>
          <w:color w:val="auto"/>
          <w:sz w:val="18"/>
          <w:szCs w:val="18"/>
        </w:rPr>
        <w:t>nom de l’organisme dont est issue la compétence transférée</w:t>
      </w:r>
      <w:r w:rsidR="00E81905">
        <w:rPr>
          <w:rFonts w:asciiTheme="minorHAnsi" w:eastAsia="Times New Roman" w:hAnsiTheme="minorHAnsi" w:cstheme="minorHAnsi"/>
          <w:color w:val="auto"/>
          <w:sz w:val="18"/>
          <w:szCs w:val="18"/>
        </w:rPr>
        <w:t>] est transférée auprès de [</w:t>
      </w:r>
      <w:r w:rsidR="00E81905">
        <w:rPr>
          <w:rFonts w:asciiTheme="minorHAnsi" w:eastAsia="Times New Roman" w:hAnsiTheme="minorHAnsi" w:cstheme="minorHAnsi"/>
          <w:b/>
          <w:color w:val="auto"/>
          <w:sz w:val="18"/>
          <w:szCs w:val="18"/>
        </w:rPr>
        <w:t>collectivité ou établissement public</w:t>
      </w:r>
      <w:r w:rsidR="00E81905">
        <w:rPr>
          <w:rFonts w:asciiTheme="minorHAnsi" w:eastAsia="Times New Roman" w:hAnsiTheme="minorHAnsi" w:cstheme="minorHAnsi"/>
          <w:color w:val="auto"/>
          <w:sz w:val="18"/>
          <w:szCs w:val="18"/>
        </w:rPr>
        <w:t>] à compter du [</w:t>
      </w:r>
      <w:r w:rsidR="00E81905">
        <w:rPr>
          <w:rFonts w:asciiTheme="minorHAnsi" w:eastAsia="Times New Roman" w:hAnsiTheme="minorHAnsi" w:cstheme="minorHAnsi"/>
          <w:b/>
          <w:color w:val="auto"/>
          <w:sz w:val="18"/>
          <w:szCs w:val="18"/>
        </w:rPr>
        <w:t>date</w:t>
      </w:r>
      <w:r w:rsidR="00E81905">
        <w:rPr>
          <w:rFonts w:asciiTheme="minorHAnsi" w:eastAsia="Times New Roman" w:hAnsiTheme="minorHAnsi" w:cstheme="minorHAnsi"/>
          <w:color w:val="auto"/>
          <w:sz w:val="18"/>
          <w:szCs w:val="18"/>
        </w:rPr>
        <w:t>] et qu’il convient, au titre des dispositions</w:t>
      </w:r>
      <w:r w:rsidR="00D965BE">
        <w:rPr>
          <w:rFonts w:asciiTheme="minorHAnsi" w:eastAsia="Times New Roman" w:hAnsiTheme="minorHAnsi" w:cstheme="minorHAnsi"/>
          <w:color w:val="auto"/>
          <w:sz w:val="18"/>
          <w:szCs w:val="18"/>
        </w:rPr>
        <w:t xml:space="preserve"> précitées</w:t>
      </w:r>
      <w:r w:rsidR="00E81905">
        <w:rPr>
          <w:rFonts w:asciiTheme="minorHAnsi" w:eastAsia="Times New Roman" w:hAnsiTheme="minorHAnsi" w:cstheme="minorHAnsi"/>
          <w:color w:val="auto"/>
          <w:sz w:val="18"/>
          <w:szCs w:val="18"/>
        </w:rPr>
        <w:t xml:space="preserve"> du code du travail, de proposer aux salariés de droit privé un contrat de droit public reprenant les clauses substantielles du contrat dont le</w:t>
      </w:r>
      <w:r w:rsidR="00D965BE">
        <w:rPr>
          <w:rFonts w:asciiTheme="minorHAnsi" w:eastAsia="Times New Roman" w:hAnsiTheme="minorHAnsi" w:cstheme="minorHAnsi"/>
          <w:color w:val="auto"/>
          <w:sz w:val="18"/>
          <w:szCs w:val="18"/>
        </w:rPr>
        <w:t>s</w:t>
      </w:r>
      <w:r w:rsidR="00E81905">
        <w:rPr>
          <w:rFonts w:asciiTheme="minorHAnsi" w:eastAsia="Times New Roman" w:hAnsiTheme="minorHAnsi" w:cstheme="minorHAnsi"/>
          <w:color w:val="auto"/>
          <w:sz w:val="18"/>
          <w:szCs w:val="18"/>
        </w:rPr>
        <w:t xml:space="preserve"> salarié</w:t>
      </w:r>
      <w:r w:rsidR="00D965BE">
        <w:rPr>
          <w:rFonts w:asciiTheme="minorHAnsi" w:eastAsia="Times New Roman" w:hAnsiTheme="minorHAnsi" w:cstheme="minorHAnsi"/>
          <w:color w:val="auto"/>
          <w:sz w:val="18"/>
          <w:szCs w:val="18"/>
        </w:rPr>
        <w:t>s</w:t>
      </w:r>
      <w:r w:rsidR="00E81905">
        <w:rPr>
          <w:rFonts w:asciiTheme="minorHAnsi" w:eastAsia="Times New Roman" w:hAnsiTheme="minorHAnsi" w:cstheme="minorHAnsi"/>
          <w:color w:val="auto"/>
          <w:sz w:val="18"/>
          <w:szCs w:val="18"/>
        </w:rPr>
        <w:t xml:space="preserve"> étai</w:t>
      </w:r>
      <w:r w:rsidR="00D965BE">
        <w:rPr>
          <w:rFonts w:asciiTheme="minorHAnsi" w:eastAsia="Times New Roman" w:hAnsiTheme="minorHAnsi" w:cstheme="minorHAnsi"/>
          <w:color w:val="auto"/>
          <w:sz w:val="18"/>
          <w:szCs w:val="18"/>
        </w:rPr>
        <w:t>en</w:t>
      </w:r>
      <w:r w:rsidR="00E81905">
        <w:rPr>
          <w:rFonts w:asciiTheme="minorHAnsi" w:eastAsia="Times New Roman" w:hAnsiTheme="minorHAnsi" w:cstheme="minorHAnsi"/>
          <w:color w:val="auto"/>
          <w:sz w:val="18"/>
          <w:szCs w:val="18"/>
        </w:rPr>
        <w:t>t titulaire</w:t>
      </w:r>
      <w:r w:rsidR="00D965BE">
        <w:rPr>
          <w:rFonts w:asciiTheme="minorHAnsi" w:eastAsia="Times New Roman" w:hAnsiTheme="minorHAnsi" w:cstheme="minorHAnsi"/>
          <w:color w:val="auto"/>
          <w:sz w:val="18"/>
          <w:szCs w:val="18"/>
        </w:rPr>
        <w:t>s</w:t>
      </w:r>
      <w:r>
        <w:rPr>
          <w:rFonts w:asciiTheme="minorHAnsi" w:eastAsia="Times New Roman" w:hAnsiTheme="minorHAnsi" w:cstheme="minorHAnsi"/>
          <w:color w:val="auto"/>
          <w:sz w:val="18"/>
          <w:szCs w:val="18"/>
        </w:rPr>
        <w:t>,</w:t>
      </w:r>
    </w:p>
    <w:p w:rsidR="00D965BE" w:rsidRPr="000D3D4B" w:rsidRDefault="00D965BE"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Considérant que les services accomplis au sein de l’entité économique d’origine sont assimilés à des services accomplis au sein de la personne publique d’accueil,</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w:t>
      </w:r>
      <w:r w:rsidR="000D3D4B">
        <w:rPr>
          <w:rFonts w:ascii="Calibri" w:eastAsia="Calibri" w:hAnsi="Calibri" w:cs="Calibri"/>
          <w:color w:val="auto"/>
          <w:sz w:val="18"/>
          <w:szCs w:val="18"/>
          <w:lang w:eastAsia="en-US"/>
        </w:rPr>
        <w:t>recruté</w:t>
      </w:r>
      <w:r w:rsidRPr="00467F80">
        <w:rPr>
          <w:rFonts w:ascii="Calibri" w:eastAsia="Calibri" w:hAnsi="Calibri" w:cs="Calibri"/>
          <w:color w:val="auto"/>
          <w:sz w:val="18"/>
          <w:szCs w:val="18"/>
          <w:lang w:eastAsia="en-US"/>
        </w:rPr>
        <w:t xml:space="preserve">(e) pour une durée </w:t>
      </w:r>
      <w:r w:rsidR="00EB279A">
        <w:rPr>
          <w:rFonts w:ascii="Calibri" w:eastAsia="Calibri" w:hAnsi="Calibri" w:cs="Calibri"/>
          <w:color w:val="auto"/>
          <w:sz w:val="18"/>
          <w:szCs w:val="18"/>
          <w:lang w:eastAsia="en-US"/>
        </w:rPr>
        <w:t>de [</w:t>
      </w:r>
      <w:r w:rsidR="00EB279A">
        <w:rPr>
          <w:rFonts w:ascii="Calibri" w:eastAsia="Calibri" w:hAnsi="Calibri" w:cs="Calibri"/>
          <w:b/>
          <w:color w:val="auto"/>
          <w:sz w:val="18"/>
          <w:szCs w:val="18"/>
          <w:lang w:eastAsia="en-US"/>
        </w:rPr>
        <w:t>durée correspondante à celle du CDD de droit privé d’origine</w:t>
      </w:r>
      <w:r w:rsidR="00EB279A">
        <w:rPr>
          <w:rFonts w:ascii="Calibri" w:eastAsia="Calibri" w:hAnsi="Calibri" w:cs="Calibri"/>
          <w:color w:val="auto"/>
          <w:sz w:val="18"/>
          <w:szCs w:val="18"/>
          <w:lang w:eastAsia="en-US"/>
        </w:rPr>
        <w:t>]</w:t>
      </w:r>
      <w:r w:rsidRPr="00467F80">
        <w:rPr>
          <w:rFonts w:ascii="Calibri" w:eastAsia="Calibri" w:hAnsi="Calibri" w:cs="Calibri"/>
          <w:color w:val="auto"/>
          <w:sz w:val="18"/>
          <w:szCs w:val="18"/>
          <w:lang w:eastAsia="en-US"/>
        </w:rPr>
        <w:t xml:space="preserve">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746733">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0D3D4B">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proofErr w:type="gramStart"/>
      <w:r w:rsidRPr="00467F80">
        <w:rPr>
          <w:rFonts w:ascii="Calibri" w:eastAsia="Calibri" w:hAnsi="Calibri" w:cs="Calibri"/>
          <w:b/>
          <w:color w:val="auto"/>
          <w:sz w:val="18"/>
          <w:szCs w:val="18"/>
          <w:lang w:eastAsia="en-US"/>
        </w:rPr>
        <w:t>fonctions</w:t>
      </w:r>
      <w:proofErr w:type="gramEnd"/>
      <w:r w:rsidRPr="00467F80">
        <w:rPr>
          <w:rFonts w:ascii="Calibri" w:eastAsia="Calibri" w:hAnsi="Calibri" w:cs="Calibri"/>
          <w:color w:val="auto"/>
          <w:sz w:val="18"/>
          <w:szCs w:val="18"/>
          <w:lang w:eastAsia="en-US"/>
        </w:rPr>
        <w:t>].</w:t>
      </w:r>
    </w:p>
    <w:p w:rsid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EB279A" w:rsidRPr="0040184F" w:rsidRDefault="00EB279A" w:rsidP="00EB279A">
      <w:pPr>
        <w:autoSpaceDE w:val="0"/>
        <w:autoSpaceDN w:val="0"/>
        <w:adjustRightInd w:val="0"/>
        <w:spacing w:after="60" w:line="240" w:lineRule="auto"/>
        <w:ind w:left="708"/>
        <w:rPr>
          <w:rFonts w:asciiTheme="minorHAnsi" w:hAnsiTheme="minorHAnsi" w:cstheme="minorHAnsi"/>
          <w:sz w:val="18"/>
          <w:szCs w:val="17"/>
          <w:u w:val="single"/>
        </w:rPr>
      </w:pPr>
      <w:r w:rsidRPr="0040184F">
        <w:rPr>
          <w:rFonts w:asciiTheme="minorHAnsi" w:hAnsiTheme="minorHAnsi" w:cstheme="minorHAnsi"/>
          <w:sz w:val="18"/>
          <w:szCs w:val="17"/>
        </w:rPr>
        <w:t>M. ou Mme [</w:t>
      </w:r>
      <w:r w:rsidRPr="0040184F">
        <w:rPr>
          <w:rFonts w:asciiTheme="minorHAnsi" w:hAnsiTheme="minorHAnsi" w:cstheme="minorHAnsi"/>
          <w:b/>
          <w:sz w:val="18"/>
          <w:szCs w:val="17"/>
        </w:rPr>
        <w:t>Nom, Prénom</w:t>
      </w:r>
      <w:r w:rsidRPr="0040184F">
        <w:rPr>
          <w:rFonts w:asciiTheme="minorHAnsi" w:hAnsiTheme="minorHAnsi" w:cstheme="minorHAnsi"/>
          <w:sz w:val="18"/>
          <w:szCs w:val="17"/>
        </w:rPr>
        <w:t>] n’est pas soumis(e) à une période d’essai.</w:t>
      </w:r>
    </w:p>
    <w:p w:rsidR="00EB279A" w:rsidRPr="0040184F" w:rsidRDefault="00EB279A" w:rsidP="00EB279A">
      <w:pPr>
        <w:autoSpaceDE w:val="0"/>
        <w:autoSpaceDN w:val="0"/>
        <w:adjustRightInd w:val="0"/>
        <w:spacing w:after="60" w:line="240" w:lineRule="auto"/>
        <w:ind w:left="708"/>
        <w:jc w:val="center"/>
        <w:rPr>
          <w:rFonts w:asciiTheme="minorHAnsi" w:hAnsiTheme="minorHAnsi" w:cstheme="minorHAnsi"/>
          <w:b/>
          <w:sz w:val="18"/>
          <w:szCs w:val="17"/>
        </w:rPr>
      </w:pPr>
      <w:proofErr w:type="gramStart"/>
      <w:r w:rsidRPr="0040184F">
        <w:rPr>
          <w:rFonts w:asciiTheme="minorHAnsi" w:hAnsiTheme="minorHAnsi" w:cstheme="minorHAnsi"/>
          <w:b/>
          <w:sz w:val="18"/>
          <w:szCs w:val="17"/>
        </w:rPr>
        <w:t>OU</w:t>
      </w:r>
      <w:proofErr w:type="gramEnd"/>
    </w:p>
    <w:p w:rsidR="00EB279A" w:rsidRPr="0040184F" w:rsidRDefault="00EB279A" w:rsidP="00EB279A">
      <w:pPr>
        <w:autoSpaceDE w:val="0"/>
        <w:autoSpaceDN w:val="0"/>
        <w:adjustRightInd w:val="0"/>
        <w:spacing w:after="60" w:line="240" w:lineRule="auto"/>
        <w:ind w:left="708"/>
        <w:rPr>
          <w:rFonts w:asciiTheme="minorHAnsi" w:hAnsiTheme="minorHAnsi" w:cstheme="minorHAnsi"/>
          <w:sz w:val="18"/>
          <w:szCs w:val="17"/>
        </w:rPr>
      </w:pPr>
      <w:r w:rsidRPr="0040184F">
        <w:rPr>
          <w:rFonts w:asciiTheme="minorHAnsi" w:hAnsiTheme="minorHAnsi" w:cstheme="minorHAnsi"/>
          <w:sz w:val="18"/>
          <w:szCs w:val="17"/>
        </w:rPr>
        <w:t>M. ou M</w:t>
      </w:r>
      <w:r w:rsidRPr="0040184F">
        <w:rPr>
          <w:rFonts w:asciiTheme="minorHAnsi" w:hAnsiTheme="minorHAnsi" w:cstheme="minorHAnsi"/>
          <w:sz w:val="18"/>
          <w:szCs w:val="17"/>
          <w:vertAlign w:val="superscript"/>
        </w:rPr>
        <w:t xml:space="preserve">me </w:t>
      </w:r>
      <w:r w:rsidRPr="0040184F">
        <w:rPr>
          <w:rFonts w:asciiTheme="minorHAnsi" w:hAnsiTheme="minorHAnsi" w:cstheme="minorHAnsi"/>
          <w:sz w:val="18"/>
          <w:szCs w:val="17"/>
        </w:rPr>
        <w:t>[</w:t>
      </w:r>
      <w:r w:rsidRPr="0040184F">
        <w:rPr>
          <w:rFonts w:asciiTheme="minorHAnsi" w:hAnsiTheme="minorHAnsi" w:cstheme="minorHAnsi"/>
          <w:b/>
          <w:sz w:val="18"/>
          <w:szCs w:val="17"/>
        </w:rPr>
        <w:t>Nom, Prénom</w:t>
      </w:r>
      <w:r w:rsidRPr="0040184F">
        <w:rPr>
          <w:rFonts w:asciiTheme="minorHAnsi" w:hAnsiTheme="minorHAnsi" w:cstheme="minorHAnsi"/>
          <w:sz w:val="18"/>
          <w:szCs w:val="17"/>
        </w:rPr>
        <w:t>] est soumis(e) à une période d’essai de [</w:t>
      </w:r>
      <w:r w:rsidRPr="0040184F">
        <w:rPr>
          <w:rFonts w:asciiTheme="minorHAnsi" w:hAnsiTheme="minorHAnsi" w:cstheme="minorHAnsi"/>
          <w:b/>
          <w:sz w:val="18"/>
          <w:szCs w:val="17"/>
        </w:rPr>
        <w:t>durée</w:t>
      </w:r>
      <w:r w:rsidRPr="0040184F">
        <w:rPr>
          <w:rFonts w:asciiTheme="minorHAnsi" w:hAnsiTheme="minorHAnsi" w:cstheme="minorHAnsi"/>
          <w:sz w:val="18"/>
          <w:szCs w:val="17"/>
        </w:rPr>
        <w:t>] qui permettra à la collectivité d’évaluer les compétences de l’agent et à ce dernier d’apprécier si les fonctions occupées lui conviennent.</w:t>
      </w:r>
    </w:p>
    <w:p w:rsidR="00EB279A" w:rsidRPr="0040184F" w:rsidRDefault="00EB279A" w:rsidP="00EB279A">
      <w:pPr>
        <w:autoSpaceDE w:val="0"/>
        <w:autoSpaceDN w:val="0"/>
        <w:adjustRightInd w:val="0"/>
        <w:spacing w:after="60" w:line="240" w:lineRule="auto"/>
        <w:ind w:left="708"/>
        <w:rPr>
          <w:rFonts w:asciiTheme="minorHAnsi" w:hAnsiTheme="minorHAnsi" w:cstheme="minorHAnsi"/>
          <w:i/>
          <w:sz w:val="18"/>
          <w:szCs w:val="17"/>
        </w:rPr>
      </w:pPr>
      <w:r w:rsidRPr="0040184F">
        <w:rPr>
          <w:rFonts w:asciiTheme="minorHAnsi" w:hAnsiTheme="minorHAnsi" w:cstheme="minorHAnsi"/>
          <w:i/>
          <w:sz w:val="18"/>
          <w:szCs w:val="17"/>
        </w:rPr>
        <w:t xml:space="preserve">(période d’essai qui peut être modulée à raison d’un jour ouvré par semaine de durée de contrat, dans la limite de 3 semaines lorsque la durée initialement prévue au contrat est inférieure à 6 mois, dans la limite d’un mois lorsque la </w:t>
      </w:r>
      <w:r w:rsidRPr="0040184F">
        <w:rPr>
          <w:rFonts w:asciiTheme="minorHAnsi" w:hAnsiTheme="minorHAnsi" w:cstheme="minorHAnsi"/>
          <w:i/>
          <w:sz w:val="18"/>
          <w:szCs w:val="17"/>
        </w:rPr>
        <w:lastRenderedPageBreak/>
        <w:t>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EB279A" w:rsidRPr="0040184F" w:rsidRDefault="00EB279A" w:rsidP="00EB279A">
      <w:pPr>
        <w:autoSpaceDE w:val="0"/>
        <w:autoSpaceDN w:val="0"/>
        <w:adjustRightInd w:val="0"/>
        <w:spacing w:after="60" w:line="240" w:lineRule="auto"/>
        <w:ind w:left="708"/>
        <w:rPr>
          <w:rFonts w:asciiTheme="minorHAnsi" w:hAnsiTheme="minorHAnsi" w:cstheme="minorHAnsi"/>
          <w:sz w:val="18"/>
          <w:szCs w:val="17"/>
        </w:rPr>
      </w:pPr>
      <w:r w:rsidRPr="0040184F">
        <w:rPr>
          <w:rFonts w:asciiTheme="minorHAnsi" w:hAnsiTheme="minorHAnsi" w:cstheme="minorHAnsi"/>
          <w:sz w:val="18"/>
          <w:szCs w:val="17"/>
        </w:rPr>
        <w:t>La collectivité se réserve la possibilité de renouveler une fois la période d’essai pour une durée au plus égale à sa durée initiale.</w:t>
      </w:r>
    </w:p>
    <w:p w:rsidR="00EB279A" w:rsidRPr="0040184F" w:rsidRDefault="00EB279A" w:rsidP="00EB279A">
      <w:pPr>
        <w:pStyle w:val="Default"/>
        <w:spacing w:after="60"/>
        <w:ind w:left="709"/>
        <w:jc w:val="both"/>
        <w:rPr>
          <w:rFonts w:asciiTheme="minorHAnsi" w:hAnsiTheme="minorHAnsi" w:cstheme="minorHAnsi"/>
          <w:color w:val="auto"/>
          <w:sz w:val="18"/>
          <w:szCs w:val="17"/>
        </w:rPr>
      </w:pPr>
      <w:r w:rsidRPr="0040184F">
        <w:rPr>
          <w:rFonts w:asciiTheme="minorHAnsi" w:hAnsiTheme="minorHAnsi" w:cstheme="minorHAnsi"/>
          <w:color w:val="auto"/>
          <w:sz w:val="18"/>
          <w:szCs w:val="17"/>
        </w:rPr>
        <w:t>Le licenciement en cours ou au terme de la période d’essai ne peut intervenir qu’à l’issue d’un entretien préalable au cours duquel l’agent peut être assisté par une personne de son choix conformément au 3</w:t>
      </w:r>
      <w:r w:rsidRPr="0040184F">
        <w:rPr>
          <w:rFonts w:asciiTheme="minorHAnsi" w:hAnsiTheme="minorHAnsi" w:cstheme="minorHAnsi"/>
          <w:color w:val="auto"/>
          <w:sz w:val="18"/>
          <w:szCs w:val="17"/>
          <w:vertAlign w:val="superscript"/>
        </w:rPr>
        <w:t>ème</w:t>
      </w:r>
      <w:r w:rsidRPr="0040184F">
        <w:rPr>
          <w:rFonts w:asciiTheme="minorHAnsi" w:hAnsiTheme="minorHAnsi" w:cstheme="minorHAnsi"/>
          <w:color w:val="auto"/>
          <w:sz w:val="18"/>
          <w:szCs w:val="17"/>
        </w:rPr>
        <w:t xml:space="preserve"> alinéa de l’article 42 du décret n°88-145 du 15 février 1988.</w:t>
      </w:r>
    </w:p>
    <w:p w:rsidR="00EB279A" w:rsidRPr="0040184F" w:rsidRDefault="00EB279A" w:rsidP="00EB279A">
      <w:pPr>
        <w:pStyle w:val="Default"/>
        <w:spacing w:after="60"/>
        <w:ind w:left="709"/>
        <w:jc w:val="both"/>
        <w:rPr>
          <w:rFonts w:asciiTheme="minorHAnsi" w:hAnsiTheme="minorHAnsi" w:cstheme="minorHAnsi"/>
          <w:color w:val="auto"/>
          <w:sz w:val="18"/>
          <w:szCs w:val="17"/>
        </w:rPr>
      </w:pPr>
      <w:r w:rsidRPr="0040184F">
        <w:rPr>
          <w:rFonts w:asciiTheme="minorHAnsi" w:hAnsiTheme="minorHAnsi" w:cstheme="minorHAnsi"/>
          <w:color w:val="auto"/>
          <w:sz w:val="18"/>
          <w:szCs w:val="17"/>
        </w:rPr>
        <w:t>La décision de licenciement est notifiée à l’intéressée par lettre recommandée avec demande d’avis de réception ou par lettre remise en main propre contre décharge.</w:t>
      </w:r>
    </w:p>
    <w:p w:rsidR="00EB279A" w:rsidRPr="0040184F" w:rsidRDefault="00EB279A" w:rsidP="00EB279A">
      <w:pPr>
        <w:pStyle w:val="Default"/>
        <w:spacing w:after="60"/>
        <w:jc w:val="both"/>
        <w:rPr>
          <w:rFonts w:asciiTheme="minorHAnsi" w:hAnsiTheme="minorHAnsi" w:cstheme="minorHAnsi"/>
          <w:color w:val="auto"/>
          <w:sz w:val="18"/>
          <w:szCs w:val="17"/>
        </w:rPr>
      </w:pPr>
      <w:r w:rsidRPr="0040184F">
        <w:rPr>
          <w:rFonts w:asciiTheme="minorHAnsi" w:hAnsiTheme="minorHAnsi" w:cstheme="minorHAnsi"/>
          <w:color w:val="auto"/>
          <w:sz w:val="18"/>
          <w:szCs w:val="17"/>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2</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3</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00C660F7">
        <w:rPr>
          <w:rFonts w:ascii="Calibri" w:eastAsia="Calibri" w:hAnsi="Calibri" w:cs="Calibri"/>
          <w:b/>
          <w:color w:val="auto"/>
          <w:sz w:val="18"/>
          <w:szCs w:val="18"/>
          <w:lang w:eastAsia="en-US"/>
        </w:rPr>
        <w:t xml:space="preserve"> reprenant celle du contrat de droit privé</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w:t>
      </w:r>
      <w:r w:rsidR="00C660F7">
        <w:rPr>
          <w:rFonts w:ascii="Calibri" w:eastAsia="Calibri" w:hAnsi="Calibri" w:cs="Calibri"/>
          <w:color w:val="auto"/>
          <w:sz w:val="18"/>
          <w:szCs w:val="18"/>
          <w:lang w:eastAsia="en-US"/>
        </w:rPr>
        <w:t>du niveau de rémunération déterminé dans le contrat de droit privé dont était titulaire l’agent</w:t>
      </w:r>
      <w:r w:rsidRPr="00467F80">
        <w:rPr>
          <w:rFonts w:ascii="Calibri" w:eastAsia="Calibri" w:hAnsi="Calibri" w:cs="Calibri"/>
          <w:color w:val="auto"/>
          <w:sz w:val="18"/>
          <w:szCs w:val="18"/>
          <w:lang w:eastAsia="en-US"/>
        </w:rPr>
        <w:t xml:space="preserv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00C660F7">
        <w:rPr>
          <w:rFonts w:ascii="Calibri" w:eastAsia="Calibri" w:hAnsi="Calibri" w:cs="Calibri"/>
          <w:b/>
          <w:color w:val="auto"/>
          <w:sz w:val="18"/>
          <w:szCs w:val="18"/>
          <w:lang w:eastAsia="en-US"/>
        </w:rPr>
        <w:t xml:space="preserve"> permettant une rémunération d’un niveau au moins égal, ou à défaut supérieure à celle dont bénéficiait le salarié</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4</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xml:space="preserve">: FORMATION D’INTÉGRATION ET DE PROFESSIONNALISATION </w:t>
      </w:r>
      <w:r w:rsidR="00EB279A">
        <w:rPr>
          <w:rFonts w:asciiTheme="minorHAnsi" w:hAnsiTheme="minorHAnsi" w:cstheme="minorHAnsi"/>
          <w:i/>
          <w:color w:val="auto"/>
          <w:sz w:val="18"/>
          <w:szCs w:val="18"/>
        </w:rPr>
        <w:t>(Si la durée du contrat est supérieure à 1 an)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5</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0184F" w:rsidRPr="00467F80" w:rsidRDefault="0040184F" w:rsidP="0040184F">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Pr>
          <w:rFonts w:ascii="Calibri" w:eastAsia="Calibri" w:hAnsi="Calibri" w:cs="Calibri"/>
          <w:b/>
          <w:bCs/>
          <w:color w:val="auto"/>
          <w:sz w:val="18"/>
          <w:szCs w:val="18"/>
          <w:lang w:eastAsia="en-US"/>
        </w:rPr>
        <w:t>6</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xml:space="preserve">: </w:t>
      </w:r>
      <w:r>
        <w:rPr>
          <w:rFonts w:ascii="Calibri" w:eastAsia="Calibri" w:hAnsi="Calibri" w:cs="Calibri"/>
          <w:color w:val="auto"/>
          <w:sz w:val="18"/>
          <w:szCs w:val="18"/>
          <w:lang w:eastAsia="en-US"/>
        </w:rPr>
        <w:t>RENOUVELLEMENT DU CONTRAT</w:t>
      </w:r>
    </w:p>
    <w:p w:rsidR="0040184F" w:rsidRDefault="0040184F" w:rsidP="0040184F">
      <w:pPr>
        <w:pStyle w:val="Default"/>
        <w:spacing w:after="60"/>
        <w:ind w:left="708"/>
        <w:jc w:val="both"/>
        <w:rPr>
          <w:rFonts w:asciiTheme="minorHAnsi" w:hAnsiTheme="minorHAnsi" w:cstheme="minorHAnsi"/>
          <w:color w:val="auto"/>
          <w:sz w:val="18"/>
          <w:szCs w:val="18"/>
        </w:rPr>
      </w:pPr>
      <w:r w:rsidRPr="00351374">
        <w:rPr>
          <w:rFonts w:asciiTheme="minorHAnsi" w:hAnsiTheme="minorHAnsi" w:cstheme="minorHAnsi"/>
          <w:color w:val="auto"/>
          <w:sz w:val="18"/>
          <w:szCs w:val="18"/>
        </w:rPr>
        <w:t>Le présent contrat est susceptible de renouvellement par reconduction expresse. L'autorité territoriale notifie son intention de renouveler l'engagement au plus tard</w:t>
      </w:r>
      <w:r>
        <w:rPr>
          <w:rFonts w:asciiTheme="minorHAnsi" w:hAnsiTheme="minorHAnsi" w:cstheme="minorHAnsi"/>
          <w:color w:val="auto"/>
          <w:sz w:val="18"/>
          <w:szCs w:val="18"/>
        </w:rPr>
        <w:t> :</w:t>
      </w:r>
    </w:p>
    <w:p w:rsidR="0040184F" w:rsidRPr="00A56E20" w:rsidRDefault="0040184F" w:rsidP="0040184F">
      <w:pPr>
        <w:pStyle w:val="Default"/>
        <w:numPr>
          <w:ilvl w:val="0"/>
          <w:numId w:val="9"/>
        </w:numPr>
        <w:spacing w:after="60"/>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8 jours avant le terme de l’engagement pour l’agent recruté pou</w:t>
      </w:r>
      <w:r>
        <w:rPr>
          <w:rFonts w:asciiTheme="minorHAnsi" w:hAnsiTheme="minorHAnsi" w:cstheme="minorHAnsi"/>
          <w:color w:val="auto"/>
          <w:sz w:val="18"/>
          <w:szCs w:val="18"/>
        </w:rPr>
        <w:t>r une durée inférieure à 6 mois</w:t>
      </w:r>
    </w:p>
    <w:p w:rsidR="0040184F" w:rsidRPr="00A56E20" w:rsidRDefault="0040184F" w:rsidP="0040184F">
      <w:pPr>
        <w:pStyle w:val="Default"/>
        <w:numPr>
          <w:ilvl w:val="0"/>
          <w:numId w:val="9"/>
        </w:numPr>
        <w:spacing w:after="60"/>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1 mois avant le terme de l’engagement pour l’agent recr</w:t>
      </w:r>
      <w:r>
        <w:rPr>
          <w:rFonts w:asciiTheme="minorHAnsi" w:hAnsiTheme="minorHAnsi" w:cstheme="minorHAnsi"/>
          <w:color w:val="auto"/>
          <w:sz w:val="18"/>
          <w:szCs w:val="18"/>
        </w:rPr>
        <w:t xml:space="preserve">uté pour une durée </w:t>
      </w:r>
      <w:r w:rsidRPr="00A56E20">
        <w:rPr>
          <w:rFonts w:asciiTheme="minorHAnsi" w:hAnsiTheme="minorHAnsi" w:cstheme="minorHAnsi"/>
          <w:color w:val="auto"/>
          <w:sz w:val="18"/>
          <w:szCs w:val="18"/>
        </w:rPr>
        <w:t xml:space="preserve">égale ou supérieure </w:t>
      </w:r>
      <w:r>
        <w:rPr>
          <w:rFonts w:asciiTheme="minorHAnsi" w:hAnsiTheme="minorHAnsi" w:cstheme="minorHAnsi"/>
          <w:color w:val="auto"/>
          <w:sz w:val="18"/>
          <w:szCs w:val="18"/>
        </w:rPr>
        <w:t>à 6 mois et inférieure à 2 ans</w:t>
      </w:r>
    </w:p>
    <w:p w:rsidR="0040184F" w:rsidRPr="00A56E20" w:rsidRDefault="0040184F" w:rsidP="0040184F">
      <w:pPr>
        <w:pStyle w:val="Default"/>
        <w:numPr>
          <w:ilvl w:val="0"/>
          <w:numId w:val="9"/>
        </w:numPr>
        <w:spacing w:after="60"/>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2 mois avant le terme de l’engagement pour l’agent recruté pou</w:t>
      </w:r>
      <w:r>
        <w:rPr>
          <w:rFonts w:asciiTheme="minorHAnsi" w:hAnsiTheme="minorHAnsi" w:cstheme="minorHAnsi"/>
          <w:color w:val="auto"/>
          <w:sz w:val="18"/>
          <w:szCs w:val="18"/>
        </w:rPr>
        <w:t>r une durée supérieure à 2 ans</w:t>
      </w:r>
    </w:p>
    <w:p w:rsidR="0040184F" w:rsidRDefault="0040184F" w:rsidP="0040184F">
      <w:pPr>
        <w:pStyle w:val="Default"/>
        <w:numPr>
          <w:ilvl w:val="0"/>
          <w:numId w:val="9"/>
        </w:numPr>
        <w:spacing w:after="60"/>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3 mois avant le terme de l’engagement pour l’agent dont le contrat est susceptible d’être renouvelé pour une durée indéterminée en application des dispositions législatives ou réglementaires applicables.</w:t>
      </w:r>
    </w:p>
    <w:p w:rsidR="0040184F" w:rsidRDefault="0040184F" w:rsidP="0040184F">
      <w:pPr>
        <w:pStyle w:val="Default"/>
        <w:spacing w:after="60"/>
        <w:ind w:left="708"/>
        <w:jc w:val="both"/>
        <w:rPr>
          <w:rFonts w:asciiTheme="minorHAnsi" w:hAnsiTheme="minorHAnsi" w:cstheme="minorHAnsi"/>
          <w:color w:val="auto"/>
          <w:sz w:val="18"/>
          <w:szCs w:val="18"/>
        </w:rPr>
      </w:pPr>
      <w:r>
        <w:rPr>
          <w:rFonts w:ascii="Calibri" w:hAnsi="Calibri" w:cs="Calibri"/>
          <w:sz w:val="18"/>
          <w:szCs w:val="18"/>
        </w:rPr>
        <w:t>Pour l</w:t>
      </w:r>
      <w:r w:rsidRPr="003B5F50">
        <w:rPr>
          <w:rFonts w:ascii="Calibri" w:hAnsi="Calibri" w:cs="Calibri"/>
          <w:sz w:val="18"/>
          <w:szCs w:val="18"/>
        </w:rPr>
        <w:t xml:space="preserve">a détermination de la durée du délai de prévenance, il </w:t>
      </w:r>
      <w:r>
        <w:rPr>
          <w:rFonts w:ascii="Calibri" w:hAnsi="Calibri" w:cs="Calibri"/>
          <w:sz w:val="18"/>
          <w:szCs w:val="18"/>
        </w:rPr>
        <w:t>est</w:t>
      </w:r>
      <w:r w:rsidRPr="003B5F50">
        <w:rPr>
          <w:rFonts w:ascii="Calibri" w:hAnsi="Calibri" w:cs="Calibri"/>
          <w:sz w:val="18"/>
          <w:szCs w:val="18"/>
        </w:rPr>
        <w:t xml:space="preserve"> tenu compte de l’ensemble des contrats conclus avec l’agent, y compris ceux conclus avant une interruption de fonctions, sous réserve que cette interruption n’excède pas 4 mois et qu’elle ne soit pas due à une démission de l’agent</w:t>
      </w:r>
      <w:r>
        <w:rPr>
          <w:rFonts w:ascii="Calibri" w:hAnsi="Calibri" w:cs="Calibri"/>
          <w:sz w:val="18"/>
          <w:szCs w:val="18"/>
        </w:rPr>
        <w:t>.</w:t>
      </w:r>
    </w:p>
    <w:p w:rsidR="0040184F" w:rsidRPr="003B5F50" w:rsidRDefault="0040184F" w:rsidP="0040184F">
      <w:pPr>
        <w:pStyle w:val="articlecontenu"/>
        <w:tabs>
          <w:tab w:val="left" w:pos="1418"/>
        </w:tabs>
        <w:spacing w:after="0"/>
        <w:ind w:left="709" w:firstLine="0"/>
        <w:rPr>
          <w:rFonts w:ascii="Calibri" w:hAnsi="Calibri" w:cs="Calibri"/>
          <w:sz w:val="18"/>
          <w:szCs w:val="18"/>
        </w:rPr>
      </w:pPr>
      <w:r w:rsidRPr="003B5F50">
        <w:rPr>
          <w:rFonts w:ascii="Calibri" w:hAnsi="Calibri" w:cs="Calibri"/>
          <w:sz w:val="18"/>
          <w:szCs w:val="18"/>
        </w:rPr>
        <w:t>S’il est proposé à M. ou M</w:t>
      </w:r>
      <w:r w:rsidRPr="003B5F50">
        <w:rPr>
          <w:rFonts w:ascii="Calibri" w:hAnsi="Calibri" w:cs="Calibri"/>
          <w:sz w:val="18"/>
          <w:szCs w:val="18"/>
          <w:vertAlign w:val="superscript"/>
        </w:rPr>
        <w:t xml:space="preserve">me </w:t>
      </w:r>
      <w:r w:rsidRPr="003B5F50">
        <w:rPr>
          <w:rFonts w:ascii="Calibri" w:hAnsi="Calibri" w:cs="Calibri"/>
          <w:sz w:val="18"/>
          <w:szCs w:val="18"/>
        </w:rPr>
        <w:t>[</w:t>
      </w:r>
      <w:r w:rsidRPr="00A56E20">
        <w:rPr>
          <w:rFonts w:ascii="Calibri" w:hAnsi="Calibri" w:cs="Calibri"/>
          <w:b/>
          <w:sz w:val="18"/>
          <w:szCs w:val="18"/>
        </w:rPr>
        <w:t>Nom, Prénom</w:t>
      </w:r>
      <w:r w:rsidRPr="003B5F50">
        <w:rPr>
          <w:rFonts w:ascii="Calibri" w:hAnsi="Calibri" w:cs="Calibri"/>
          <w:sz w:val="18"/>
          <w:szCs w:val="18"/>
        </w:rPr>
        <w:t>] de renouveler le contrat, l’intéressé(e) disposera d’un délai de huit jours pour faire connaître, le cas échéant, son acceptation. En cas de non réponse dans ce délai, l’intéressé(e) est présumé(e) renoncer à son emploi.</w:t>
      </w:r>
    </w:p>
    <w:p w:rsidR="0040184F" w:rsidRPr="00467F80" w:rsidRDefault="0040184F"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40184F">
        <w:rPr>
          <w:rFonts w:ascii="Calibri" w:eastAsia="Calibri" w:hAnsi="Calibri" w:cs="Calibri"/>
          <w:b/>
          <w:bCs/>
          <w:color w:val="auto"/>
          <w:sz w:val="18"/>
          <w:szCs w:val="18"/>
          <w:lang w:eastAsia="en-US"/>
        </w:rPr>
        <w:t>7</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D77D65">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E81905" w:rsidRPr="00467F80" w:rsidRDefault="00E81905"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Pr>
          <w:rFonts w:ascii="Calibri" w:eastAsia="Calibri" w:hAnsi="Calibri" w:cs="Calibri"/>
          <w:color w:val="auto"/>
          <w:sz w:val="18"/>
          <w:szCs w:val="18"/>
          <w:lang w:eastAsia="en-US"/>
        </w:rPr>
        <w:t xml:space="preserve">Les services accomplis auprès de </w:t>
      </w:r>
      <w:r>
        <w:rPr>
          <w:rFonts w:asciiTheme="minorHAnsi" w:eastAsia="Times New Roman" w:hAnsiTheme="minorHAnsi" w:cstheme="minorHAnsi"/>
          <w:color w:val="auto"/>
          <w:sz w:val="18"/>
          <w:szCs w:val="18"/>
        </w:rPr>
        <w:t>[</w:t>
      </w:r>
      <w:r>
        <w:rPr>
          <w:rFonts w:asciiTheme="minorHAnsi" w:eastAsia="Times New Roman" w:hAnsiTheme="minorHAnsi" w:cstheme="minorHAnsi"/>
          <w:b/>
          <w:color w:val="auto"/>
          <w:sz w:val="18"/>
          <w:szCs w:val="18"/>
        </w:rPr>
        <w:t>nom de l’organisme dont est issue la compétence transférée</w:t>
      </w:r>
      <w:r>
        <w:rPr>
          <w:rFonts w:asciiTheme="minorHAnsi" w:eastAsia="Times New Roman" w:hAnsiTheme="minorHAnsi" w:cstheme="minorHAnsi"/>
          <w:color w:val="auto"/>
          <w:sz w:val="18"/>
          <w:szCs w:val="18"/>
        </w:rPr>
        <w:t xml:space="preserve">] sont comptabilités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 xml:space="preserve">ARTICLE </w:t>
      </w:r>
      <w:r w:rsidR="0040184F">
        <w:rPr>
          <w:rFonts w:ascii="Calibri" w:eastAsia="Calibri" w:hAnsi="Calibri" w:cs="Calibri"/>
          <w:b/>
          <w:color w:val="auto"/>
          <w:sz w:val="18"/>
          <w:szCs w:val="18"/>
          <w:lang w:eastAsia="en-US"/>
        </w:rPr>
        <w:t>8</w:t>
      </w:r>
      <w:r w:rsidRPr="00467F80">
        <w:rPr>
          <w:rFonts w:ascii="Calibri" w:eastAsia="Calibri" w:hAnsi="Calibri" w:cs="Calibri"/>
          <w:b/>
          <w:color w:val="auto"/>
          <w:sz w:val="18"/>
          <w:szCs w:val="18"/>
          <w:lang w:eastAsia="en-US"/>
        </w:rPr>
        <w:t>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0184F" w:rsidRPr="0040184F" w:rsidRDefault="0040184F" w:rsidP="0040184F">
      <w:pPr>
        <w:autoSpaceDE w:val="0"/>
        <w:autoSpaceDN w:val="0"/>
        <w:adjustRightInd w:val="0"/>
        <w:spacing w:after="60" w:line="240" w:lineRule="auto"/>
        <w:rPr>
          <w:rFonts w:asciiTheme="minorHAnsi" w:hAnsiTheme="minorHAnsi" w:cstheme="minorHAnsi"/>
          <w:sz w:val="18"/>
          <w:szCs w:val="17"/>
        </w:rPr>
      </w:pPr>
      <w:r w:rsidRPr="0040184F">
        <w:rPr>
          <w:rFonts w:asciiTheme="minorHAnsi" w:hAnsiTheme="minorHAnsi" w:cstheme="minorHAnsi"/>
          <w:b/>
          <w:sz w:val="18"/>
          <w:szCs w:val="17"/>
        </w:rPr>
        <w:t xml:space="preserve">ARTICLE </w:t>
      </w:r>
      <w:r>
        <w:rPr>
          <w:rFonts w:asciiTheme="minorHAnsi" w:hAnsiTheme="minorHAnsi" w:cstheme="minorHAnsi"/>
          <w:b/>
          <w:sz w:val="18"/>
          <w:szCs w:val="17"/>
        </w:rPr>
        <w:t>9</w:t>
      </w:r>
      <w:r w:rsidRPr="0040184F">
        <w:rPr>
          <w:rFonts w:asciiTheme="minorHAnsi" w:hAnsiTheme="minorHAnsi" w:cstheme="minorHAnsi"/>
          <w:b/>
          <w:sz w:val="18"/>
          <w:szCs w:val="17"/>
        </w:rPr>
        <w:t> :</w:t>
      </w:r>
      <w:r w:rsidRPr="0040184F">
        <w:rPr>
          <w:rFonts w:asciiTheme="minorHAnsi" w:hAnsiTheme="minorHAnsi" w:cstheme="minorHAnsi"/>
          <w:sz w:val="18"/>
          <w:szCs w:val="17"/>
        </w:rPr>
        <w:t xml:space="preserve"> INDEMNITÉ DE FIN DE CONTRAT </w:t>
      </w:r>
      <w:r w:rsidRPr="0040184F">
        <w:rPr>
          <w:rFonts w:asciiTheme="minorHAnsi" w:hAnsiTheme="minorHAnsi" w:cstheme="minorHAnsi"/>
          <w:i/>
          <w:sz w:val="18"/>
          <w:szCs w:val="17"/>
        </w:rPr>
        <w:t>(pour les contrats conclus à compter du 1er janvier 2021)</w:t>
      </w:r>
    </w:p>
    <w:p w:rsidR="0040184F" w:rsidRPr="0040184F" w:rsidRDefault="0040184F" w:rsidP="0040184F">
      <w:pPr>
        <w:autoSpaceDE w:val="0"/>
        <w:autoSpaceDN w:val="0"/>
        <w:adjustRightInd w:val="0"/>
        <w:spacing w:after="60" w:line="240" w:lineRule="auto"/>
        <w:ind w:left="708"/>
        <w:rPr>
          <w:rFonts w:asciiTheme="minorHAnsi" w:hAnsiTheme="minorHAnsi" w:cstheme="minorHAnsi"/>
          <w:i/>
          <w:sz w:val="18"/>
          <w:szCs w:val="17"/>
        </w:rPr>
      </w:pPr>
      <w:r w:rsidRPr="0040184F">
        <w:rPr>
          <w:rFonts w:asciiTheme="minorHAnsi" w:hAnsiTheme="minorHAnsi" w:cstheme="minorHAnsi"/>
          <w:i/>
          <w:sz w:val="18"/>
          <w:szCs w:val="17"/>
        </w:rPr>
        <w:t>(L’indemnité n’est pas due si le montant de la rémunération brute globale mensuelle dépasse deux fois le SMIC)</w:t>
      </w:r>
    </w:p>
    <w:p w:rsidR="0040184F" w:rsidRPr="0040184F" w:rsidRDefault="0040184F" w:rsidP="0040184F">
      <w:pPr>
        <w:autoSpaceDE w:val="0"/>
        <w:autoSpaceDN w:val="0"/>
        <w:adjustRightInd w:val="0"/>
        <w:spacing w:after="60" w:line="240" w:lineRule="auto"/>
        <w:ind w:left="708"/>
        <w:rPr>
          <w:rFonts w:asciiTheme="minorHAnsi" w:hAnsiTheme="minorHAnsi" w:cstheme="minorHAnsi"/>
          <w:sz w:val="18"/>
          <w:szCs w:val="17"/>
        </w:rPr>
      </w:pPr>
      <w:r w:rsidRPr="0040184F">
        <w:rPr>
          <w:rFonts w:asciiTheme="minorHAnsi" w:hAnsiTheme="minorHAnsi" w:cstheme="minorHAnsi"/>
          <w:sz w:val="18"/>
          <w:szCs w:val="17"/>
        </w:rPr>
        <w:t>A l’échéance du contrat, si celui-ci est d’une durée totale inférieure à un an (renouvellements compris), M. ou Mme [</w:t>
      </w:r>
      <w:r w:rsidRPr="0040184F">
        <w:rPr>
          <w:rFonts w:asciiTheme="minorHAnsi" w:hAnsiTheme="minorHAnsi" w:cstheme="minorHAnsi"/>
          <w:b/>
          <w:sz w:val="18"/>
          <w:szCs w:val="17"/>
        </w:rPr>
        <w:t>Nom, Prénom</w:t>
      </w:r>
      <w:r w:rsidRPr="0040184F">
        <w:rPr>
          <w:rFonts w:asciiTheme="minorHAnsi" w:hAnsiTheme="minorHAnsi" w:cstheme="minorHAnsi"/>
          <w:sz w:val="18"/>
          <w:szCs w:val="17"/>
        </w:rPr>
        <w:t>] a droit à une indemnité de fin de contrat.</w:t>
      </w:r>
    </w:p>
    <w:p w:rsidR="0040184F" w:rsidRPr="0040184F" w:rsidRDefault="0040184F" w:rsidP="0040184F">
      <w:pPr>
        <w:autoSpaceDE w:val="0"/>
        <w:autoSpaceDN w:val="0"/>
        <w:adjustRightInd w:val="0"/>
        <w:spacing w:after="60" w:line="240" w:lineRule="auto"/>
        <w:ind w:left="708"/>
        <w:rPr>
          <w:rFonts w:asciiTheme="minorHAnsi" w:hAnsiTheme="minorHAnsi" w:cstheme="minorHAnsi"/>
          <w:sz w:val="18"/>
          <w:szCs w:val="17"/>
        </w:rPr>
      </w:pPr>
      <w:r w:rsidRPr="0040184F">
        <w:rPr>
          <w:rFonts w:asciiTheme="minorHAnsi" w:hAnsiTheme="minorHAnsi" w:cstheme="minorHAnsi"/>
          <w:sz w:val="18"/>
          <w:szCs w:val="17"/>
        </w:rPr>
        <w:t>L’indemnité n’est pas due si au terme du contrat ou de cette durée, M. ou Mme [</w:t>
      </w:r>
      <w:r w:rsidRPr="0040184F">
        <w:rPr>
          <w:rFonts w:asciiTheme="minorHAnsi" w:hAnsiTheme="minorHAnsi" w:cstheme="minorHAnsi"/>
          <w:b/>
          <w:sz w:val="18"/>
          <w:szCs w:val="17"/>
        </w:rPr>
        <w:t>Nom, Prénom</w:t>
      </w:r>
      <w:r w:rsidRPr="0040184F">
        <w:rPr>
          <w:rFonts w:asciiTheme="minorHAnsi" w:hAnsiTheme="minorHAnsi" w:cstheme="minorHAnsi"/>
          <w:sz w:val="18"/>
          <w:szCs w:val="17"/>
        </w:rPr>
        <w:t>] est nommé(e) stagiaire ou élève à l'issue de la réussite à un concours ou bénéficie du renouvellement de son contrat ou de la conclusion d'un nouveau contrat, à durée déterminée ou indéterminée, au sein de la fonction publique territoriale.</w:t>
      </w:r>
    </w:p>
    <w:p w:rsidR="0040184F" w:rsidRPr="0040184F" w:rsidRDefault="0040184F" w:rsidP="0040184F">
      <w:pPr>
        <w:autoSpaceDE w:val="0"/>
        <w:autoSpaceDN w:val="0"/>
        <w:adjustRightInd w:val="0"/>
        <w:spacing w:after="60" w:line="240" w:lineRule="auto"/>
        <w:ind w:left="708"/>
        <w:rPr>
          <w:rFonts w:asciiTheme="minorHAnsi" w:hAnsiTheme="minorHAnsi" w:cstheme="minorHAnsi"/>
          <w:sz w:val="18"/>
          <w:szCs w:val="17"/>
        </w:rPr>
      </w:pPr>
      <w:r w:rsidRPr="0040184F">
        <w:rPr>
          <w:rFonts w:asciiTheme="minorHAnsi" w:hAnsiTheme="minorHAnsi" w:cstheme="minorHAnsi"/>
          <w:sz w:val="18"/>
          <w:szCs w:val="17"/>
        </w:rPr>
        <w:t>L’indemnité n’est pas due si le contrat n’est pas exécuté jusqu’à son terme (notamment en cas de démission ou de licenciement).</w:t>
      </w:r>
    </w:p>
    <w:p w:rsidR="0040184F" w:rsidRPr="0040184F" w:rsidRDefault="0040184F" w:rsidP="0040184F">
      <w:pPr>
        <w:autoSpaceDE w:val="0"/>
        <w:autoSpaceDN w:val="0"/>
        <w:adjustRightInd w:val="0"/>
        <w:spacing w:after="60" w:line="240" w:lineRule="auto"/>
        <w:ind w:left="708"/>
        <w:rPr>
          <w:rFonts w:asciiTheme="minorHAnsi" w:hAnsiTheme="minorHAnsi" w:cstheme="minorHAnsi"/>
          <w:sz w:val="18"/>
          <w:szCs w:val="17"/>
        </w:rPr>
      </w:pPr>
      <w:r w:rsidRPr="0040184F">
        <w:rPr>
          <w:rFonts w:asciiTheme="minorHAnsi" w:hAnsiTheme="minorHAnsi" w:cstheme="minorHAnsi"/>
          <w:sz w:val="18"/>
          <w:szCs w:val="17"/>
        </w:rPr>
        <w:t>L’indemnité n'est pas due si l'agent refuse la conclusion d'un CDI pour occuper le même emploi ou un emploi similaire auprès du même employeur, assorti d'une rémunération au moins équivalente.</w:t>
      </w:r>
    </w:p>
    <w:p w:rsidR="0040184F" w:rsidRPr="0040184F" w:rsidRDefault="0040184F" w:rsidP="0040184F">
      <w:pPr>
        <w:autoSpaceDE w:val="0"/>
        <w:autoSpaceDN w:val="0"/>
        <w:adjustRightInd w:val="0"/>
        <w:spacing w:after="60" w:line="240" w:lineRule="auto"/>
        <w:ind w:left="708"/>
        <w:rPr>
          <w:rFonts w:asciiTheme="minorHAnsi" w:hAnsiTheme="minorHAnsi" w:cstheme="minorHAnsi"/>
          <w:sz w:val="18"/>
          <w:szCs w:val="17"/>
        </w:rPr>
      </w:pPr>
      <w:r w:rsidRPr="0040184F">
        <w:rPr>
          <w:rFonts w:asciiTheme="minorHAnsi" w:hAnsiTheme="minorHAnsi" w:cstheme="minorHAnsi"/>
          <w:sz w:val="18"/>
          <w:szCs w:val="17"/>
        </w:rPr>
        <w:t>Le montant de l’indemnité est fixé à 10 % de la rémunération brute globale perçue par l'agent au titre de son contrat et, le cas échéant, de ses renouvellements.</w:t>
      </w:r>
    </w:p>
    <w:p w:rsidR="0040184F" w:rsidRPr="0040184F" w:rsidRDefault="0040184F" w:rsidP="0040184F">
      <w:pPr>
        <w:autoSpaceDE w:val="0"/>
        <w:autoSpaceDN w:val="0"/>
        <w:adjustRightInd w:val="0"/>
        <w:spacing w:after="60" w:line="240" w:lineRule="auto"/>
        <w:ind w:left="708"/>
        <w:rPr>
          <w:rFonts w:asciiTheme="minorHAnsi" w:hAnsiTheme="minorHAnsi" w:cstheme="minorHAnsi"/>
          <w:sz w:val="18"/>
          <w:szCs w:val="17"/>
        </w:rPr>
      </w:pPr>
      <w:r w:rsidRPr="0040184F">
        <w:rPr>
          <w:rFonts w:asciiTheme="minorHAnsi" w:hAnsiTheme="minorHAnsi" w:cstheme="minorHAnsi"/>
          <w:sz w:val="18"/>
          <w:szCs w:val="17"/>
        </w:rPr>
        <w:t>L'indemnité est versée au plus tard un mois après le terme du contrat.</w:t>
      </w:r>
    </w:p>
    <w:p w:rsidR="0040184F" w:rsidRPr="00467F80" w:rsidRDefault="0040184F"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40184F">
        <w:rPr>
          <w:rFonts w:ascii="Calibri" w:eastAsia="Calibri" w:hAnsi="Calibri" w:cs="Calibri"/>
          <w:b/>
          <w:bCs/>
          <w:color w:val="auto"/>
          <w:sz w:val="18"/>
          <w:szCs w:val="18"/>
          <w:lang w:eastAsia="en-US"/>
        </w:rPr>
        <w:t>10</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w:t>
      </w:r>
      <w:proofErr w:type="spellStart"/>
      <w:r w:rsidRPr="00467F80">
        <w:rPr>
          <w:rFonts w:ascii="Calibri" w:eastAsia="Calibri" w:hAnsi="Calibri" w:cs="Calibri"/>
          <w:color w:val="auto"/>
          <w:sz w:val="18"/>
          <w:szCs w:val="18"/>
          <w:lang w:eastAsia="en-US"/>
        </w:rPr>
        <w:t>Télérecours</w:t>
      </w:r>
      <w:proofErr w:type="spellEnd"/>
      <w:r w:rsidRPr="00467F80">
        <w:rPr>
          <w:rFonts w:ascii="Calibri" w:eastAsia="Calibri" w:hAnsi="Calibri" w:cs="Calibri"/>
          <w:color w:val="auto"/>
          <w:sz w:val="18"/>
          <w:szCs w:val="18"/>
          <w:lang w:eastAsia="en-US"/>
        </w:rPr>
        <w:t xml:space="preserve">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0184F" w:rsidRDefault="0040184F"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0184F" w:rsidRPr="00467F80" w:rsidRDefault="0040184F"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headerReference w:type="even" r:id="rId7"/>
      <w:headerReference w:type="default" r:id="rId8"/>
      <w:footerReference w:type="even" r:id="rId9"/>
      <w:footerReference w:type="default" r:id="rId10"/>
      <w:headerReference w:type="first" r:id="rId11"/>
      <w:footerReference w:type="first" r:id="rId12"/>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B8" w:rsidRDefault="00EB79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Pr="00866EEB" w:rsidRDefault="003645CB" w:rsidP="00866EEB">
    <w:pPr>
      <w:pStyle w:val="Pieddepage"/>
    </w:pPr>
    <w:r w:rsidRPr="00866EE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B8" w:rsidRDefault="00EB79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B8" w:rsidRDefault="00EB79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B8" w:rsidRDefault="00EB79B8">
    <w:pPr>
      <w:pStyle w:val="En-tte"/>
    </w:pPr>
  </w:p>
  <w:p w:rsidR="00EB79B8" w:rsidRDefault="00EB79B8" w:rsidP="00EB79B8">
    <w:pPr>
      <w:pStyle w:val="En-tte"/>
      <w:jc w:val="right"/>
      <w:rPr>
        <w:rFonts w:asciiTheme="minorHAnsi" w:hAnsiTheme="minorHAnsi" w:cstheme="minorHAnsi"/>
        <w:i/>
        <w:color w:val="808080" w:themeColor="background1" w:themeShade="80"/>
      </w:rPr>
    </w:pPr>
  </w:p>
  <w:p w:rsidR="00EB79B8" w:rsidRPr="00EB79B8" w:rsidRDefault="00EB79B8" w:rsidP="00EB79B8">
    <w:pPr>
      <w:pStyle w:val="En-tte"/>
      <w:jc w:val="right"/>
      <w:rPr>
        <w:rFonts w:asciiTheme="minorHAnsi" w:hAnsiTheme="minorHAnsi" w:cstheme="minorHAnsi"/>
        <w:i/>
        <w:color w:val="808080" w:themeColor="background1" w:themeShade="80"/>
      </w:rPr>
    </w:pPr>
    <w:bookmarkStart w:id="0" w:name="_GoBack"/>
    <w:bookmarkEnd w:id="0"/>
    <w:r w:rsidRPr="00EB79B8">
      <w:rPr>
        <w:rFonts w:asciiTheme="minorHAnsi" w:hAnsiTheme="minorHAnsi" w:cstheme="minorHAnsi"/>
        <w:i/>
        <w:color w:val="808080" w:themeColor="background1" w:themeShade="80"/>
      </w:rPr>
      <w:t>Modèle mis à jour le 1</w:t>
    </w:r>
    <w:r w:rsidRPr="00EB79B8">
      <w:rPr>
        <w:rFonts w:asciiTheme="minorHAnsi" w:hAnsiTheme="minorHAnsi" w:cstheme="minorHAnsi"/>
        <w:i/>
        <w:color w:val="808080" w:themeColor="background1" w:themeShade="80"/>
        <w:vertAlign w:val="superscript"/>
      </w:rPr>
      <w:t>er</w:t>
    </w:r>
    <w:r w:rsidRPr="00EB79B8">
      <w:rPr>
        <w:rFonts w:asciiTheme="minorHAnsi" w:hAnsiTheme="minorHAnsi" w:cstheme="minorHAnsi"/>
        <w:i/>
        <w:color w:val="808080" w:themeColor="background1" w:themeShade="80"/>
      </w:rPr>
      <w:t xml:space="preserve"> septembre 2022</w:t>
    </w:r>
  </w:p>
  <w:p w:rsidR="00EB79B8" w:rsidRDefault="00EB79B8" w:rsidP="00EB79B8">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B8" w:rsidRDefault="00EB79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923C2"/>
    <w:multiLevelType w:val="hybridMultilevel"/>
    <w:tmpl w:val="E5EC38C8"/>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8"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2"/>
  </w:num>
  <w:num w:numId="6">
    <w:abstractNumId w:val="4"/>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D3D4B"/>
    <w:rsid w:val="0011203D"/>
    <w:rsid w:val="00270DBA"/>
    <w:rsid w:val="002D32FB"/>
    <w:rsid w:val="003259C2"/>
    <w:rsid w:val="00345EFD"/>
    <w:rsid w:val="00362935"/>
    <w:rsid w:val="003645CB"/>
    <w:rsid w:val="0040184F"/>
    <w:rsid w:val="0045702F"/>
    <w:rsid w:val="00467F80"/>
    <w:rsid w:val="004D2F41"/>
    <w:rsid w:val="005A776C"/>
    <w:rsid w:val="005D4F3D"/>
    <w:rsid w:val="006218BD"/>
    <w:rsid w:val="00746733"/>
    <w:rsid w:val="008411BF"/>
    <w:rsid w:val="00851F13"/>
    <w:rsid w:val="00866EEB"/>
    <w:rsid w:val="00885626"/>
    <w:rsid w:val="00A916CB"/>
    <w:rsid w:val="00BC5C52"/>
    <w:rsid w:val="00BE1A3D"/>
    <w:rsid w:val="00C1223F"/>
    <w:rsid w:val="00C660F7"/>
    <w:rsid w:val="00CC1872"/>
    <w:rsid w:val="00CD19A8"/>
    <w:rsid w:val="00D77D65"/>
    <w:rsid w:val="00D80371"/>
    <w:rsid w:val="00D965BE"/>
    <w:rsid w:val="00DA3FA3"/>
    <w:rsid w:val="00DB1471"/>
    <w:rsid w:val="00E0293D"/>
    <w:rsid w:val="00E81905"/>
    <w:rsid w:val="00EB279A"/>
    <w:rsid w:val="00EB79B8"/>
    <w:rsid w:val="00F5369E"/>
    <w:rsid w:val="00F955F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6FFA"/>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866EEB"/>
    <w:pPr>
      <w:tabs>
        <w:tab w:val="center" w:pos="4536"/>
        <w:tab w:val="right" w:pos="9072"/>
      </w:tabs>
      <w:spacing w:after="0" w:line="240" w:lineRule="auto"/>
    </w:pPr>
  </w:style>
  <w:style w:type="character" w:customStyle="1" w:styleId="En-tteCar">
    <w:name w:val="En-tête Car"/>
    <w:basedOn w:val="Policepardfaut"/>
    <w:link w:val="En-tte"/>
    <w:uiPriority w:val="99"/>
    <w:rsid w:val="00866EE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1901</Words>
  <Characters>10458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5</cp:revision>
  <cp:lastPrinted>2020-06-25T09:13:00Z</cp:lastPrinted>
  <dcterms:created xsi:type="dcterms:W3CDTF">2022-09-27T10:04:00Z</dcterms:created>
  <dcterms:modified xsi:type="dcterms:W3CDTF">2022-09-27T10:13:00Z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