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1C44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instituant </w:t>
      </w:r>
      <w:r w:rsidR="009B475E">
        <w:rPr>
          <w:rFonts w:ascii="Century Gothic" w:hAnsi="Century Gothic" w:cs="Arial"/>
          <w:b/>
          <w:bCs/>
          <w:smallCaps/>
          <w:sz w:val="24"/>
          <w:szCs w:val="20"/>
        </w:rPr>
        <w:t>une majoration des heures complémentaires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0D2400" w:rsidRPr="000D2400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>Les agents occupant des emplois à temps non complet peuvent effectuer des heures de service au-delà de l</w:t>
      </w:r>
      <w:r>
        <w:rPr>
          <w:rFonts w:cstheme="minorHAnsi"/>
          <w:sz w:val="18"/>
          <w:szCs w:val="16"/>
        </w:rPr>
        <w:t>a durée fixée pour leur emploi.</w:t>
      </w:r>
    </w:p>
    <w:p w:rsidR="00574D4E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 xml:space="preserve">Les heures de travail effectuées au-delà de la durée hebdomadaire de service afférente à l’emploi à temps non complet et qui ne dépassent pas </w:t>
      </w:r>
      <w:r>
        <w:rPr>
          <w:rFonts w:cstheme="minorHAnsi"/>
          <w:sz w:val="18"/>
          <w:szCs w:val="16"/>
        </w:rPr>
        <w:t>la durée légale de travail hebdomadaire</w:t>
      </w:r>
      <w:r w:rsidRPr="000D2400">
        <w:rPr>
          <w:rFonts w:cstheme="minorHAnsi"/>
          <w:sz w:val="18"/>
          <w:szCs w:val="16"/>
        </w:rPr>
        <w:t>, dénommées heures complémentaires, sont rémunérées sur la base d’une proratisation du traitement et des indemnités ayant le caractère de complément de traitement.</w:t>
      </w:r>
    </w:p>
    <w:p w:rsidR="000D2400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>Le décret n°2020-592 du 15 mai 2020 prévoit la possibilité pour l’organe délibérant de la collectivité qui recourt à des heures complémentaires de majorer leur indemnisation selon les modalités définies à l’article 5 du décret du 15 mai 2020 précité.</w:t>
      </w:r>
    </w:p>
    <w:p w:rsidR="000D2400" w:rsidRPr="000D2400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 xml:space="preserve">Les heures de travail effectuées au-delà </w:t>
      </w:r>
      <w:r>
        <w:rPr>
          <w:rFonts w:cstheme="minorHAnsi"/>
          <w:sz w:val="18"/>
          <w:szCs w:val="16"/>
        </w:rPr>
        <w:t>de la durée légale de travail hebdomadaire</w:t>
      </w:r>
      <w:r w:rsidRPr="000D2400">
        <w:rPr>
          <w:rFonts w:cstheme="minorHAnsi"/>
          <w:sz w:val="18"/>
          <w:szCs w:val="16"/>
        </w:rPr>
        <w:t xml:space="preserve"> sont dénommées heures supplémentaires et font l’objet d’une indemnisation sur la base de l'indemnité horaire pour travaux supplémentaires ou </w:t>
      </w:r>
      <w:r>
        <w:rPr>
          <w:rFonts w:cstheme="minorHAnsi"/>
          <w:sz w:val="18"/>
          <w:szCs w:val="16"/>
        </w:rPr>
        <w:t xml:space="preserve">à défaut d’un repos compensateur. </w:t>
      </w:r>
      <w:r>
        <w:rPr>
          <w:rFonts w:cstheme="minorHAnsi"/>
          <w:i/>
          <w:sz w:val="18"/>
          <w:szCs w:val="16"/>
        </w:rPr>
        <w:t>(le cas échéant, préciser la délibération instituant l’indemnité horaire pour travaux supplémentaire)</w:t>
      </w:r>
    </w:p>
    <w:p w:rsidR="000D2400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</w:t>
      </w:r>
      <w:r w:rsidRPr="001C4432">
        <w:rPr>
          <w:rFonts w:cstheme="minorHAnsi"/>
          <w:sz w:val="18"/>
          <w:szCs w:val="16"/>
        </w:rPr>
        <w:t xml:space="preserve">’instituer </w:t>
      </w:r>
      <w:r w:rsidR="000D2400">
        <w:rPr>
          <w:rFonts w:cstheme="minorHAnsi"/>
          <w:sz w:val="18"/>
          <w:szCs w:val="16"/>
        </w:rPr>
        <w:t>un régime de majoration des heures complémentaires pour les agents à temps non-complet amenés à effectuer des heures de service au-delà de la durée fixée pour leur emploi dans les conditions prévues par le décret du 15 mai 2020</w:t>
      </w:r>
      <w:r w:rsidRPr="001C4432">
        <w:rPr>
          <w:rFonts w:cstheme="minorHAnsi"/>
          <w:sz w:val="18"/>
          <w:szCs w:val="16"/>
        </w:rPr>
        <w:t>.</w:t>
      </w:r>
    </w:p>
    <w:p w:rsidR="001C4432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0D2400" w:rsidRDefault="000D2400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</w:p>
    <w:p w:rsidR="000D2400" w:rsidRDefault="000D2400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>Vu le décre</w:t>
      </w:r>
      <w:r>
        <w:rPr>
          <w:rFonts w:cstheme="minorHAnsi"/>
          <w:sz w:val="18"/>
          <w:szCs w:val="16"/>
        </w:rPr>
        <w:t>t n° 91-875 du 6 septembre 1991,</w:t>
      </w:r>
    </w:p>
    <w:p w:rsidR="00572A22" w:rsidRPr="00572A22" w:rsidRDefault="00572A22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>Vu le décret n° 2000-815 du 25 août 2000 relatif à l’aménagement et à la réduction du temps de travail dans la fonction publique de l’Etat,</w:t>
      </w:r>
    </w:p>
    <w:p w:rsidR="00572A22" w:rsidRDefault="00572A22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>Vu le décret n° 2001-623 du 12 juillet 2001,</w:t>
      </w:r>
    </w:p>
    <w:p w:rsidR="000D2400" w:rsidRPr="00572A22" w:rsidRDefault="000D2400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>Vu le décret n° 2002-60 du 14 janvier 2002 modifié relatif aux indemnités horaires pour travaux supplémentaires,</w:t>
      </w:r>
    </w:p>
    <w:p w:rsidR="000D2400" w:rsidRDefault="000D2400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D2400">
        <w:rPr>
          <w:rFonts w:cstheme="minorHAnsi"/>
          <w:sz w:val="18"/>
          <w:szCs w:val="16"/>
        </w:rPr>
        <w:t>Vu le décret n° 2020-592 du 15 mai 2020 relatif aux modalités de calcul et à la majoration de la rémunération des heures complémentaires des agents de la fonction publique territoriale nommés dans des emplois permanents à temps non complet,</w:t>
      </w:r>
    </w:p>
    <w:p w:rsidR="000D2400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 xml:space="preserve">Vu </w:t>
      </w:r>
      <w:r>
        <w:rPr>
          <w:rFonts w:cstheme="minorHAnsi"/>
          <w:sz w:val="18"/>
          <w:szCs w:val="16"/>
        </w:rPr>
        <w:t>la délibération n°[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en date</w:t>
      </w:r>
      <w:r>
        <w:rPr>
          <w:rFonts w:ascii="Calibri" w:hAnsi="Calibri" w:cs="Calibri"/>
          <w:sz w:val="18"/>
        </w:rPr>
        <w:t xml:space="preserve">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instaurant l’indemnité horaire pour travaux supplémentaire</w:t>
      </w:r>
      <w:r>
        <w:rPr>
          <w:rFonts w:ascii="Calibri" w:hAnsi="Calibri" w:cs="Calibri"/>
          <w:sz w:val="18"/>
        </w:rPr>
        <w:t xml:space="preserve">, </w:t>
      </w:r>
      <w:r>
        <w:rPr>
          <w:rFonts w:ascii="Calibri" w:hAnsi="Calibri" w:cs="Calibri"/>
          <w:i/>
          <w:sz w:val="18"/>
        </w:rPr>
        <w:t>(le cas échéant)</w:t>
      </w:r>
    </w:p>
    <w:p w:rsidR="000D2400" w:rsidRDefault="000D2400" w:rsidP="000D240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l’avis du comité social territorial réuni en date</w:t>
      </w:r>
      <w:r>
        <w:rPr>
          <w:rFonts w:ascii="Calibri" w:hAnsi="Calibri" w:cs="Calibri"/>
          <w:sz w:val="18"/>
        </w:rPr>
        <w:t xml:space="preserve">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 xml:space="preserve">], </w:t>
      </w:r>
      <w:r>
        <w:rPr>
          <w:rFonts w:ascii="Calibri" w:hAnsi="Calibri" w:cs="Calibri"/>
          <w:i/>
          <w:sz w:val="18"/>
        </w:rPr>
        <w:t>(le cas échéant)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72A22" w:rsidRDefault="00572A22" w:rsidP="00572A2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D</w:t>
            </w:r>
            <w:r w:rsidRPr="001C4432">
              <w:rPr>
                <w:rFonts w:cstheme="minorHAnsi"/>
                <w:sz w:val="18"/>
                <w:szCs w:val="16"/>
              </w:rPr>
              <w:t xml:space="preserve">’instituer </w:t>
            </w:r>
            <w:r w:rsidR="000D2400">
              <w:rPr>
                <w:rFonts w:cstheme="minorHAnsi"/>
                <w:sz w:val="18"/>
                <w:szCs w:val="16"/>
              </w:rPr>
              <w:t>pour les fonctionnaires et agents contractuels de droit public recrutés sur des emplois permanents [</w:t>
            </w:r>
            <w:r w:rsidR="000D2400">
              <w:rPr>
                <w:rFonts w:cstheme="minorHAnsi"/>
                <w:b/>
                <w:sz w:val="18"/>
                <w:szCs w:val="16"/>
              </w:rPr>
              <w:t>et, le cas échéant, non-permanents</w:t>
            </w:r>
            <w:r w:rsidR="000D2400">
              <w:rPr>
                <w:rFonts w:cstheme="minorHAnsi"/>
                <w:sz w:val="18"/>
                <w:szCs w:val="16"/>
              </w:rPr>
              <w:t>] à temps non-complet un taux de majoration de 10% pour chacune des heures complémentaires accomplies dans la limite du dixième des heures hebdomadaires de service afférentes à l’emploi à temps non-complet, et de 25% pour les heures suivantes</w:t>
            </w:r>
            <w:r w:rsidRPr="001C4432">
              <w:rPr>
                <w:rFonts w:cstheme="minorHAnsi"/>
                <w:sz w:val="18"/>
                <w:szCs w:val="16"/>
              </w:rPr>
              <w:t>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31D9E" w:rsidRPr="003E56B6" w:rsidRDefault="003E56B6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Lorsque le travail supplémentaire effectué par un agent à temps non-complet dépasse la durée du travail effectif afférente à un temps complet, il sera fait application de la réglementation relative aux </w:t>
            </w:r>
            <w:r>
              <w:rPr>
                <w:rFonts w:ascii="Calibri" w:hAnsi="Calibri" w:cs="Calibri"/>
                <w:sz w:val="18"/>
              </w:rPr>
              <w:lastRenderedPageBreak/>
              <w:t xml:space="preserve">heures supplémentaires. </w:t>
            </w:r>
            <w:r>
              <w:rPr>
                <w:rFonts w:ascii="Calibri" w:hAnsi="Calibri" w:cs="Calibri"/>
                <w:i/>
                <w:sz w:val="18"/>
              </w:rPr>
              <w:t>(et, le cas échéant, à la délibération instaurant l’indemnité horaire pour travaux supplémentaire)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C23A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C23A3B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572A22" w:rsidP="00572A2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572A22">
              <w:rPr>
                <w:rFonts w:ascii="Calibri" w:hAnsi="Calibri" w:cs="Calibri"/>
                <w:sz w:val="18"/>
              </w:rPr>
              <w:t xml:space="preserve">Les dépenses correspondantes seront imputées sur le chapitre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numéro de chapitre</w:t>
            </w:r>
            <w:r>
              <w:rPr>
                <w:rFonts w:ascii="Calibri" w:hAnsi="Calibri" w:cs="Calibri"/>
                <w:sz w:val="18"/>
              </w:rPr>
              <w:t>]</w:t>
            </w:r>
            <w:r w:rsidRPr="00572A22">
              <w:rPr>
                <w:rFonts w:ascii="Calibri" w:hAnsi="Calibri" w:cs="Calibri"/>
                <w:sz w:val="18"/>
              </w:rPr>
              <w:t xml:space="preserve"> article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numéro d’article</w:t>
            </w:r>
            <w:r>
              <w:rPr>
                <w:rFonts w:ascii="Calibri" w:hAnsi="Calibri" w:cs="Calibri"/>
                <w:sz w:val="18"/>
              </w:rPr>
              <w:t>]</w:t>
            </w:r>
            <w:r w:rsidRPr="00572A22">
              <w:rPr>
                <w:rFonts w:ascii="Calibri" w:hAnsi="Calibri" w:cs="Calibri"/>
                <w:sz w:val="18"/>
              </w:rPr>
              <w:t xml:space="preserve"> du budget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572A22" w:rsidRPr="007968B1" w:rsidRDefault="00572A22" w:rsidP="00572A2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C23A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C23A3B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  <w:bookmarkStart w:id="0" w:name="_GoBack"/>
            <w:bookmarkEnd w:id="0"/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b/>
          <w:sz w:val="18"/>
          <w:szCs w:val="16"/>
        </w:rPr>
        <w:t>OU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8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C" w:rsidRDefault="00EC4DAC" w:rsidP="00992F41">
      <w:pPr>
        <w:spacing w:after="0" w:line="240" w:lineRule="auto"/>
      </w:pPr>
      <w:r>
        <w:separator/>
      </w:r>
    </w:p>
  </w:endnote>
  <w:end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C" w:rsidRDefault="00EC4DAC" w:rsidP="00992F41">
      <w:pPr>
        <w:spacing w:after="0" w:line="240" w:lineRule="auto"/>
      </w:pPr>
      <w:r>
        <w:separator/>
      </w:r>
    </w:p>
  </w:footnote>
  <w:foot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75E" w:rsidRPr="00FA5CD9" w:rsidRDefault="009B475E" w:rsidP="009B475E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>
      <w:rPr>
        <w:i/>
        <w:color w:val="808080" w:themeColor="background1" w:themeShade="80"/>
      </w:rPr>
      <w:t>janvier 2023</w:t>
    </w:r>
  </w:p>
  <w:p w:rsidR="009B475E" w:rsidRDefault="009B47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D2400"/>
    <w:rsid w:val="000E1A9E"/>
    <w:rsid w:val="001036A3"/>
    <w:rsid w:val="00104666"/>
    <w:rsid w:val="00130674"/>
    <w:rsid w:val="00131D9E"/>
    <w:rsid w:val="001C4432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53E93"/>
    <w:rsid w:val="00390CE1"/>
    <w:rsid w:val="003E56B6"/>
    <w:rsid w:val="00405B76"/>
    <w:rsid w:val="00441437"/>
    <w:rsid w:val="004C47E8"/>
    <w:rsid w:val="0052435D"/>
    <w:rsid w:val="005271CF"/>
    <w:rsid w:val="005400FF"/>
    <w:rsid w:val="00572A22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702CDA"/>
    <w:rsid w:val="00720471"/>
    <w:rsid w:val="00791668"/>
    <w:rsid w:val="007968B1"/>
    <w:rsid w:val="008C0284"/>
    <w:rsid w:val="00992F41"/>
    <w:rsid w:val="009B475E"/>
    <w:rsid w:val="00A14948"/>
    <w:rsid w:val="00A17B90"/>
    <w:rsid w:val="00A421B8"/>
    <w:rsid w:val="00A75050"/>
    <w:rsid w:val="00A91285"/>
    <w:rsid w:val="00AD2325"/>
    <w:rsid w:val="00AE1755"/>
    <w:rsid w:val="00C10417"/>
    <w:rsid w:val="00C23A3B"/>
    <w:rsid w:val="00C85819"/>
    <w:rsid w:val="00C93136"/>
    <w:rsid w:val="00CB4623"/>
    <w:rsid w:val="00D50C32"/>
    <w:rsid w:val="00D74D03"/>
    <w:rsid w:val="00D940DC"/>
    <w:rsid w:val="00DA2461"/>
    <w:rsid w:val="00DE72F7"/>
    <w:rsid w:val="00EC448E"/>
    <w:rsid w:val="00EC4DAC"/>
    <w:rsid w:val="00EE274E"/>
    <w:rsid w:val="00F34C8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B55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A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2A2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B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475E"/>
  </w:style>
  <w:style w:type="paragraph" w:styleId="Pieddepage">
    <w:name w:val="footer"/>
    <w:basedOn w:val="Normal"/>
    <w:link w:val="PieddepageCar"/>
    <w:uiPriority w:val="99"/>
    <w:unhideWhenUsed/>
    <w:rsid w:val="009B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8B8C-7737-49DA-9ED6-4A00DDCD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2022-12-27T09:27:00Z</dcterms:created>
  <dcterms:modified xsi:type="dcterms:W3CDTF">2022-12-27T09:52:00Z</dcterms:modified>
</cp:coreProperties>
</file>