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0E337A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instaurant </w:t>
      </w:r>
      <w:r w:rsidR="00C060E6">
        <w:rPr>
          <w:rFonts w:ascii="Century Gothic" w:hAnsi="Century Gothic" w:cs="Arial"/>
          <w:b/>
          <w:bCs/>
          <w:smallCaps/>
          <w:sz w:val="24"/>
          <w:szCs w:val="20"/>
        </w:rPr>
        <w:t>les modalités d’exercice du temps partiel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constitue une possibilité d’aménagement du temps de travail pour les agents publics. Il s’adresse aux fonctionnaires titulaires et stagiaires ainsi qu’aux agents contractuels.</w:t>
      </w:r>
    </w:p>
    <w:p w:rsid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L’autorisation, qui ne peut être inférieure au mi-temps, est accordée sur demande des intéressés, sous réserve des nécessités, de la continuité et du fonctionnement du service et compte-tenu des possibilités d’aménagement de l’organisation du travail.</w:t>
      </w:r>
    </w:p>
    <w:p w:rsid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peut également s</w:t>
      </w:r>
      <w:r w:rsidR="008C3DA2">
        <w:rPr>
          <w:rFonts w:cstheme="minorHAnsi"/>
          <w:sz w:val="18"/>
          <w:szCs w:val="16"/>
        </w:rPr>
        <w:t>e voir attribué de plein droit pour élever un enfant de moins de 3 ans, donner des soins à un proche, ou en raison d’un handicap de l’agent</w:t>
      </w:r>
      <w:r>
        <w:rPr>
          <w:rFonts w:cstheme="minorHAnsi"/>
          <w:sz w:val="18"/>
          <w:szCs w:val="16"/>
        </w:rPr>
        <w:t>, et ce dès lors que ces conditions d’octroi sont remplies par l’agent public.</w:t>
      </w:r>
    </w:p>
    <w:p w:rsidR="00C060E6" w:rsidRP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Dans les deux cas, le travail peut être organisé dans le cadre quotidien, hebdomadaire, mensuel ou annuel. Il appartient donc à l’assemblée délibérante, après avis du comité social territorial, d’ouvrir la possibilité d’exercice du temps partiel dans la collectivité </w:t>
      </w:r>
      <w:r>
        <w:rPr>
          <w:rFonts w:cstheme="minorHAnsi"/>
          <w:i/>
          <w:sz w:val="18"/>
          <w:szCs w:val="16"/>
        </w:rPr>
        <w:t>(ou l’établissement public)</w:t>
      </w:r>
      <w:r>
        <w:rPr>
          <w:rFonts w:cstheme="minorHAnsi"/>
          <w:sz w:val="18"/>
          <w:szCs w:val="16"/>
        </w:rPr>
        <w:t xml:space="preserve"> et d’en définir les modalités d’application. En effet, la réglementation fixe le cadre général dans lequel s’exerce le temps partiel, mais ne réglemente pas certaines modalités qui devront être définies à l’échelon local.</w:t>
      </w:r>
    </w:p>
    <w:p w:rsidR="000E337A" w:rsidRDefault="000E337A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C060E6">
        <w:rPr>
          <w:rFonts w:cstheme="minorHAnsi"/>
          <w:sz w:val="18"/>
          <w:szCs w:val="16"/>
        </w:rPr>
        <w:t xml:space="preserve">le temps partiel et d’en fixer </w:t>
      </w:r>
      <w:r w:rsidR="008C3DA2">
        <w:rPr>
          <w:rFonts w:cstheme="minorHAnsi"/>
          <w:sz w:val="18"/>
          <w:szCs w:val="16"/>
        </w:rPr>
        <w:t>l</w:t>
      </w:r>
      <w:r w:rsidR="00C060E6">
        <w:rPr>
          <w:rFonts w:cstheme="minorHAnsi"/>
          <w:sz w:val="18"/>
          <w:szCs w:val="16"/>
        </w:rPr>
        <w:t>’application</w:t>
      </w:r>
      <w:r w:rsidR="00F914E8">
        <w:rPr>
          <w:rFonts w:cstheme="minorHAnsi"/>
          <w:sz w:val="18"/>
          <w:szCs w:val="16"/>
        </w:rPr>
        <w:t>, conformément aux dispositions législatives et réglementaires,</w:t>
      </w:r>
      <w:r w:rsidR="008C3DA2">
        <w:rPr>
          <w:rFonts w:cstheme="minorHAnsi"/>
          <w:sz w:val="18"/>
          <w:szCs w:val="16"/>
        </w:rPr>
        <w:t xml:space="preserve"> selon les modalités suivantes :</w:t>
      </w:r>
    </w:p>
    <w:p w:rsidR="008C3DA2" w:rsidRDefault="008C3DA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sur autorisation peut être organisé dans le cadre [</w:t>
      </w:r>
      <w:r>
        <w:rPr>
          <w:rFonts w:cstheme="minorHAnsi"/>
          <w:b/>
          <w:sz w:val="18"/>
          <w:szCs w:val="16"/>
        </w:rPr>
        <w:t>quotidien, hebdomadaire, mensuel et/ou annuel</w:t>
      </w:r>
      <w:r>
        <w:rPr>
          <w:rFonts w:cstheme="minorHAnsi"/>
          <w:sz w:val="18"/>
          <w:szCs w:val="16"/>
        </w:rPr>
        <w:t>]</w:t>
      </w: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de droit peut être organisé dans le cadre [</w:t>
      </w:r>
      <w:r>
        <w:rPr>
          <w:rFonts w:cstheme="minorHAnsi"/>
          <w:b/>
          <w:sz w:val="18"/>
          <w:szCs w:val="16"/>
        </w:rPr>
        <w:t>quotidien, hebdomadaire, mensuel et/ou annuel</w:t>
      </w:r>
      <w:r>
        <w:rPr>
          <w:rFonts w:cstheme="minorHAnsi"/>
          <w:sz w:val="18"/>
          <w:szCs w:val="16"/>
        </w:rPr>
        <w:t>]</w:t>
      </w: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quotités de temps partiel sont fixées à [</w:t>
      </w:r>
      <w:r>
        <w:rPr>
          <w:rFonts w:cstheme="minorHAnsi"/>
          <w:b/>
          <w:sz w:val="18"/>
          <w:szCs w:val="16"/>
        </w:rPr>
        <w:t>50, 60, 70, 80 et/ou 90%</w:t>
      </w:r>
      <w:r>
        <w:rPr>
          <w:rFonts w:cstheme="minorHAnsi"/>
          <w:sz w:val="18"/>
          <w:szCs w:val="16"/>
        </w:rPr>
        <w:t>]</w:t>
      </w:r>
    </w:p>
    <w:p w:rsidR="001C0FD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La durée des autorisations pourra être fixée entre [</w:t>
      </w:r>
      <w:r>
        <w:rPr>
          <w:rFonts w:cstheme="minorHAnsi"/>
          <w:b/>
          <w:sz w:val="18"/>
          <w:szCs w:val="16"/>
        </w:rPr>
        <w:t>durée minimale – au moins 6 mois</w:t>
      </w:r>
      <w:r>
        <w:rPr>
          <w:rFonts w:cstheme="minorHAnsi"/>
          <w:sz w:val="18"/>
          <w:szCs w:val="16"/>
        </w:rPr>
        <w:t>]</w:t>
      </w:r>
      <w:r w:rsidR="001C0FD2">
        <w:rPr>
          <w:rFonts w:cstheme="minorHAnsi"/>
          <w:sz w:val="18"/>
          <w:szCs w:val="16"/>
        </w:rPr>
        <w:t xml:space="preserve"> et [</w:t>
      </w:r>
      <w:r w:rsidR="001C0FD2">
        <w:rPr>
          <w:rFonts w:cstheme="minorHAnsi"/>
          <w:b/>
          <w:sz w:val="18"/>
          <w:szCs w:val="16"/>
        </w:rPr>
        <w:t>durée maximale – au plus un an</w:t>
      </w:r>
      <w:r w:rsidR="001C0FD2">
        <w:rPr>
          <w:rFonts w:cstheme="minorHAnsi"/>
          <w:sz w:val="18"/>
          <w:szCs w:val="16"/>
        </w:rPr>
        <w:t>], renouvelable par tacite reconduction pour une durée identique dans la limite de trois ans. A l’issue de ces trois ans, la demande de renouvellement de la décision devra faire l’objet d’une demande et d’une décision expresses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demandes devront être formulées dans un délai de [</w:t>
      </w:r>
      <w:r>
        <w:rPr>
          <w:rFonts w:cstheme="minorHAnsi"/>
          <w:b/>
          <w:sz w:val="18"/>
          <w:szCs w:val="16"/>
        </w:rPr>
        <w:t>délai</w:t>
      </w:r>
      <w:r>
        <w:rPr>
          <w:rFonts w:cstheme="minorHAnsi"/>
          <w:sz w:val="18"/>
          <w:szCs w:val="16"/>
        </w:rPr>
        <w:t>] avant le début de la période souhaitée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demandes de modification des conditions d’exercice du temps partiel en cours de période pourront intervenir :</w:t>
      </w:r>
    </w:p>
    <w:p w:rsidR="001C0FD2" w:rsidRDefault="001C0FD2" w:rsidP="001C0FD2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la demande de l’agent, dans un délai de deux mois avant la date de modification souhaitée</w:t>
      </w:r>
    </w:p>
    <w:p w:rsidR="001C0FD2" w:rsidRDefault="001C0FD2" w:rsidP="001C0FD2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la demande de l’autorité territoriale, si les nécessités du service et notamment une obligation impérieuse de continuité le justifie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Après réintégration à temps plein, une nouvelle autorisation d’exercice à temps partiel ne pourra être accordée qu’après un délai de [</w:t>
      </w:r>
      <w:r>
        <w:rPr>
          <w:rFonts w:cstheme="minorHAnsi"/>
          <w:b/>
          <w:sz w:val="18"/>
          <w:szCs w:val="16"/>
        </w:rPr>
        <w:t>délai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et seulement pour le temps partiel sur autorisation)</w:t>
      </w:r>
    </w:p>
    <w:p w:rsidR="001C0FD2" w:rsidRP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Pendant les périodes de formation professionnelles incompatibles avec l’exercice des fonctions à temps partiel, l’autorisation de travail sera suspendue, </w:t>
      </w:r>
      <w:r>
        <w:rPr>
          <w:rFonts w:cstheme="minorHAnsi"/>
          <w:i/>
          <w:sz w:val="18"/>
          <w:szCs w:val="16"/>
        </w:rPr>
        <w:t>(le cas échéant)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0E337A">
        <w:rPr>
          <w:rFonts w:cstheme="minorHAnsi"/>
          <w:sz w:val="18"/>
          <w:szCs w:val="16"/>
        </w:rPr>
        <w:t>notamment ses articles L.611-1 à L.611-3,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 xml:space="preserve">Vu le décret n° 2000-815 du 25 août 2000 </w:t>
      </w:r>
      <w:r w:rsidR="000E337A" w:rsidRPr="000E337A">
        <w:rPr>
          <w:rFonts w:cstheme="minorHAnsi"/>
          <w:sz w:val="18"/>
          <w:szCs w:val="16"/>
        </w:rPr>
        <w:t>relatif à l'aménagement et à la réduction du temps de travail dans la fonction publique de l'Etat et dans la magistrature</w:t>
      </w:r>
      <w:r w:rsidR="000E337A">
        <w:rPr>
          <w:rFonts w:cstheme="minorHAnsi"/>
          <w:sz w:val="18"/>
          <w:szCs w:val="16"/>
        </w:rPr>
        <w:t>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</w:t>
      </w:r>
      <w:r w:rsidR="000E337A">
        <w:rPr>
          <w:rFonts w:cstheme="minorHAnsi"/>
          <w:sz w:val="18"/>
          <w:szCs w:val="16"/>
        </w:rPr>
        <w:t xml:space="preserve"> n° 2001-623 du 12 juillet 2001 relatif à l’aménagement et à la réduction du temps de travail dans la fonction publique territoriale,</w:t>
      </w:r>
    </w:p>
    <w:p w:rsidR="00664362" w:rsidRDefault="00AE1755" w:rsidP="00572A2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0E337A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C0FD2" w:rsidRPr="001C0FD2" w:rsidRDefault="001C0FD2" w:rsidP="006F5C4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>
              <w:rPr>
                <w:rFonts w:cstheme="minorHAnsi"/>
                <w:sz w:val="18"/>
                <w:szCs w:val="16"/>
              </w:rPr>
              <w:t xml:space="preserve">le temps partiel et d’en fixer l’application, conformément aux dispositions législatives et réglementaires, selon les modalités </w:t>
            </w:r>
            <w:r w:rsidR="006F5C49">
              <w:rPr>
                <w:rFonts w:cstheme="minorHAnsi"/>
                <w:sz w:val="18"/>
                <w:szCs w:val="16"/>
              </w:rPr>
              <w:t>exposées ci-dessus.</w:t>
            </w:r>
          </w:p>
          <w:p w:rsidR="00F914E8" w:rsidRPr="00720471" w:rsidRDefault="00F914E8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F5C49" w:rsidRDefault="006F5C49" w:rsidP="006F5C4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13DD2" w:rsidRPr="003520C3" w:rsidRDefault="00D13DD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bookmarkStart w:id="0" w:name="_GoBack"/>
      <w:bookmarkEnd w:id="0"/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7A" w:rsidRPr="00FA5CD9" w:rsidRDefault="000E337A" w:rsidP="000E337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0E337A" w:rsidRDefault="000E3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5A3"/>
    <w:multiLevelType w:val="hybridMultilevel"/>
    <w:tmpl w:val="BB50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DA6"/>
    <w:multiLevelType w:val="hybridMultilevel"/>
    <w:tmpl w:val="7042F28E"/>
    <w:lvl w:ilvl="0" w:tplc="7724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11B5"/>
    <w:rsid w:val="00076D0F"/>
    <w:rsid w:val="000D2957"/>
    <w:rsid w:val="000E1A9E"/>
    <w:rsid w:val="000E337A"/>
    <w:rsid w:val="001036A3"/>
    <w:rsid w:val="00104666"/>
    <w:rsid w:val="00130674"/>
    <w:rsid w:val="00131D9E"/>
    <w:rsid w:val="001C0FD2"/>
    <w:rsid w:val="001C4432"/>
    <w:rsid w:val="001C6AF1"/>
    <w:rsid w:val="001E309B"/>
    <w:rsid w:val="00216986"/>
    <w:rsid w:val="00232F1A"/>
    <w:rsid w:val="00264A27"/>
    <w:rsid w:val="0028085B"/>
    <w:rsid w:val="00280C04"/>
    <w:rsid w:val="002C7932"/>
    <w:rsid w:val="002E47E1"/>
    <w:rsid w:val="003520C3"/>
    <w:rsid w:val="00390CE1"/>
    <w:rsid w:val="00405B76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6F5C49"/>
    <w:rsid w:val="00702CDA"/>
    <w:rsid w:val="00720471"/>
    <w:rsid w:val="00791668"/>
    <w:rsid w:val="007968B1"/>
    <w:rsid w:val="00875B2B"/>
    <w:rsid w:val="008C0284"/>
    <w:rsid w:val="008C3DA2"/>
    <w:rsid w:val="00992F41"/>
    <w:rsid w:val="0099560B"/>
    <w:rsid w:val="00A14948"/>
    <w:rsid w:val="00A17B90"/>
    <w:rsid w:val="00A421B8"/>
    <w:rsid w:val="00A75050"/>
    <w:rsid w:val="00A91285"/>
    <w:rsid w:val="00AD2325"/>
    <w:rsid w:val="00AE1755"/>
    <w:rsid w:val="00C060E6"/>
    <w:rsid w:val="00C10417"/>
    <w:rsid w:val="00C23A3B"/>
    <w:rsid w:val="00C85819"/>
    <w:rsid w:val="00C93136"/>
    <w:rsid w:val="00CB4623"/>
    <w:rsid w:val="00D13DD2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914E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1DAD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7A"/>
  </w:style>
  <w:style w:type="paragraph" w:styleId="Pieddepage">
    <w:name w:val="footer"/>
    <w:basedOn w:val="Normal"/>
    <w:link w:val="Pieddepag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E768-B370-469E-B5A3-2BCA4415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2022-12-29T09:11:00Z</dcterms:created>
  <dcterms:modified xsi:type="dcterms:W3CDTF">2022-12-29T10:25:00Z</dcterms:modified>
</cp:coreProperties>
</file>