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336699"/>
          <w:left w:val="single" w:sz="8" w:space="0" w:color="336699"/>
          <w:bottom w:val="single" w:sz="8" w:space="0" w:color="336699"/>
          <w:right w:val="single" w:sz="8" w:space="0" w:color="336699"/>
          <w:insideH w:val="single" w:sz="8" w:space="0" w:color="336699"/>
        </w:tblBorders>
        <w:tblLook w:val="04A0"/>
      </w:tblPr>
      <w:tblGrid>
        <w:gridCol w:w="4077"/>
        <w:gridCol w:w="5560"/>
      </w:tblGrid>
      <w:tr w:rsidR="001D4BBF" w:rsidRPr="001D4BBF" w:rsidTr="00C46CF1">
        <w:tc>
          <w:tcPr>
            <w:tcW w:w="4077" w:type="dxa"/>
            <w:shd w:val="clear" w:color="auto" w:fill="auto"/>
            <w:vAlign w:val="center"/>
          </w:tcPr>
          <w:p w:rsidR="00E7137E" w:rsidRPr="001D4BBF" w:rsidRDefault="006233C5" w:rsidP="001D4BBF">
            <w:pPr>
              <w:pStyle w:val="En-tte"/>
              <w:tabs>
                <w:tab w:val="clear" w:pos="4536"/>
                <w:tab w:val="clear" w:pos="9072"/>
                <w:tab w:val="left" w:pos="1134"/>
              </w:tabs>
              <w:suppressAutoHyphens/>
              <w:jc w:val="left"/>
              <w:rPr>
                <w:rFonts w:ascii="Arial" w:hAnsi="Arial" w:cs="Arial"/>
                <w:bCs/>
                <w:color w:val="336699"/>
                <w:sz w:val="20"/>
              </w:rPr>
            </w:pPr>
            <w:bookmarkStart w:id="0" w:name="_GoBack"/>
            <w:bookmarkEnd w:id="0"/>
            <w:r w:rsidRPr="001D4BBF">
              <w:rPr>
                <w:noProof/>
                <w:color w:val="336699"/>
              </w:rPr>
              <w:drawing>
                <wp:inline distT="0" distB="0" distL="0" distR="0">
                  <wp:extent cx="2441575" cy="802005"/>
                  <wp:effectExtent l="0" t="0" r="0" b="0"/>
                  <wp:docPr id="1" name="Image 1" descr="DGAF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FP-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1575" cy="802005"/>
                          </a:xfrm>
                          <a:prstGeom prst="rect">
                            <a:avLst/>
                          </a:prstGeom>
                          <a:noFill/>
                          <a:ln>
                            <a:noFill/>
                          </a:ln>
                        </pic:spPr>
                      </pic:pic>
                    </a:graphicData>
                  </a:graphic>
                </wp:inline>
              </w:drawing>
            </w:r>
          </w:p>
        </w:tc>
        <w:tc>
          <w:tcPr>
            <w:tcW w:w="5560" w:type="dxa"/>
            <w:shd w:val="clear" w:color="auto" w:fill="auto"/>
          </w:tcPr>
          <w:p w:rsidR="00E7137E" w:rsidRPr="001D4BBF" w:rsidRDefault="006D1219" w:rsidP="00C44372">
            <w:pPr>
              <w:pStyle w:val="En-tte"/>
              <w:tabs>
                <w:tab w:val="clear" w:pos="4536"/>
                <w:tab w:val="clear" w:pos="9072"/>
                <w:tab w:val="left" w:pos="1134"/>
              </w:tabs>
              <w:suppressAutoHyphens/>
              <w:jc w:val="right"/>
              <w:rPr>
                <w:rFonts w:ascii="Arial" w:hAnsi="Arial" w:cs="Arial"/>
                <w:bCs/>
                <w:i/>
                <w:color w:val="336699"/>
                <w:sz w:val="20"/>
              </w:rPr>
            </w:pPr>
            <w:r>
              <w:rPr>
                <w:rFonts w:ascii="Arial" w:hAnsi="Arial" w:cs="Arial"/>
                <w:bCs/>
                <w:i/>
                <w:color w:val="336699"/>
                <w:sz w:val="28"/>
              </w:rPr>
              <w:t>Le report de l’indemnisation chômage dans</w:t>
            </w:r>
            <w:r w:rsidR="00E80E2E">
              <w:rPr>
                <w:rFonts w:ascii="Arial" w:hAnsi="Arial" w:cs="Arial"/>
                <w:bCs/>
                <w:i/>
                <w:color w:val="336699"/>
                <w:sz w:val="28"/>
              </w:rPr>
              <w:t xml:space="preserve"> le cadre de la gestion du Covid-19</w:t>
            </w:r>
          </w:p>
        </w:tc>
      </w:tr>
    </w:tbl>
    <w:p w:rsidR="00E7137E" w:rsidRDefault="00E7137E" w:rsidP="001A5F18">
      <w:pPr>
        <w:pStyle w:val="En-tte"/>
        <w:tabs>
          <w:tab w:val="clear" w:pos="4536"/>
          <w:tab w:val="clear" w:pos="9072"/>
          <w:tab w:val="left" w:pos="1134"/>
        </w:tabs>
        <w:rPr>
          <w:rFonts w:ascii="Arial" w:hAnsi="Arial" w:cs="Arial"/>
          <w:bCs/>
          <w:sz w:val="20"/>
        </w:rPr>
      </w:pPr>
    </w:p>
    <w:p w:rsidR="00842DD6" w:rsidRPr="00FD10A5" w:rsidRDefault="00842DD6" w:rsidP="00FD10A5">
      <w:pPr>
        <w:rPr>
          <w:rFonts w:ascii="Arial" w:hAnsi="Arial"/>
          <w:sz w:val="20"/>
        </w:rPr>
      </w:pPr>
    </w:p>
    <w:p w:rsidR="00205A17" w:rsidRDefault="00205A17" w:rsidP="00205A17">
      <w:pPr>
        <w:pStyle w:val="En-tte"/>
        <w:tabs>
          <w:tab w:val="left" w:pos="1134"/>
        </w:tabs>
        <w:ind w:left="720"/>
        <w:rPr>
          <w:rFonts w:ascii="Arial" w:hAnsi="Arial"/>
          <w:sz w:val="20"/>
        </w:rPr>
      </w:pPr>
    </w:p>
    <w:p w:rsidR="00FD10A5" w:rsidRDefault="00205A17" w:rsidP="00205A17">
      <w:pPr>
        <w:pStyle w:val="En-tte"/>
        <w:numPr>
          <w:ilvl w:val="0"/>
          <w:numId w:val="4"/>
        </w:numPr>
        <w:tabs>
          <w:tab w:val="left" w:pos="1134"/>
        </w:tabs>
        <w:rPr>
          <w:rFonts w:ascii="Arial" w:hAnsi="Arial"/>
          <w:sz w:val="20"/>
        </w:rPr>
      </w:pPr>
      <w:r>
        <w:rPr>
          <w:rFonts w:ascii="Arial" w:hAnsi="Arial"/>
          <w:sz w:val="20"/>
        </w:rPr>
        <w:t>Le principe selon lequel l’allocation chômage est versée pour une durée limitée est actuellement fixé par la l</w:t>
      </w:r>
      <w:r w:rsidR="00D05561">
        <w:rPr>
          <w:rFonts w:ascii="Arial" w:hAnsi="Arial"/>
          <w:sz w:val="20"/>
        </w:rPr>
        <w:t>oi,</w:t>
      </w:r>
      <w:r>
        <w:rPr>
          <w:rFonts w:ascii="Arial" w:hAnsi="Arial"/>
          <w:sz w:val="20"/>
        </w:rPr>
        <w:t xml:space="preserve"> à l’article L. 5422-2 du code du travail. </w:t>
      </w:r>
    </w:p>
    <w:p w:rsidR="00FD10A5" w:rsidRDefault="00FD10A5" w:rsidP="00FD10A5">
      <w:pPr>
        <w:pStyle w:val="En-tte"/>
        <w:tabs>
          <w:tab w:val="left" w:pos="1134"/>
        </w:tabs>
        <w:ind w:left="720"/>
        <w:rPr>
          <w:rFonts w:ascii="Arial" w:hAnsi="Arial"/>
          <w:sz w:val="20"/>
        </w:rPr>
      </w:pPr>
    </w:p>
    <w:p w:rsidR="00205A17" w:rsidRDefault="00205A17" w:rsidP="00205A17">
      <w:pPr>
        <w:pStyle w:val="En-tte"/>
        <w:numPr>
          <w:ilvl w:val="0"/>
          <w:numId w:val="4"/>
        </w:numPr>
        <w:tabs>
          <w:tab w:val="left" w:pos="1134"/>
        </w:tabs>
        <w:rPr>
          <w:rFonts w:ascii="Arial" w:hAnsi="Arial"/>
          <w:sz w:val="20"/>
        </w:rPr>
      </w:pPr>
      <w:r>
        <w:rPr>
          <w:rFonts w:ascii="Arial" w:hAnsi="Arial"/>
          <w:sz w:val="20"/>
        </w:rPr>
        <w:t>Cette disposition est applicable à l’allocation ch</w:t>
      </w:r>
      <w:r w:rsidR="00FD10A5">
        <w:rPr>
          <w:rFonts w:ascii="Arial" w:hAnsi="Arial"/>
          <w:sz w:val="20"/>
        </w:rPr>
        <w:t>ômage due par les employeurs publics, quelles que soient les modalités de gestion du risque chômage (adhésion au régime d’assurance chômage, auto</w:t>
      </w:r>
      <w:r w:rsidR="00FD10A5">
        <w:rPr>
          <w:rFonts w:ascii="Arial" w:hAnsi="Arial"/>
          <w:sz w:val="20"/>
        </w:rPr>
        <w:softHyphen/>
      </w:r>
      <w:r w:rsidR="00FD10A5">
        <w:rPr>
          <w:rFonts w:ascii="Arial" w:hAnsi="Arial"/>
          <w:sz w:val="20"/>
        </w:rPr>
        <w:noBreakHyphen/>
        <w:t>assurance avec délégation de la gestion à Pôle emploi ou auto</w:t>
      </w:r>
      <w:r w:rsidR="00FD10A5">
        <w:rPr>
          <w:rFonts w:ascii="Arial" w:hAnsi="Arial"/>
          <w:sz w:val="20"/>
        </w:rPr>
        <w:noBreakHyphen/>
        <w:t>assurance totale avec gestion par l’employeur public).</w:t>
      </w:r>
    </w:p>
    <w:p w:rsidR="00205A17" w:rsidRDefault="00205A17" w:rsidP="00205A17">
      <w:pPr>
        <w:pStyle w:val="Paragraphedeliste"/>
        <w:rPr>
          <w:rFonts w:ascii="Arial" w:hAnsi="Arial"/>
          <w:sz w:val="20"/>
        </w:rPr>
      </w:pPr>
    </w:p>
    <w:p w:rsidR="00FD10A5" w:rsidRPr="00B83067" w:rsidRDefault="00403791" w:rsidP="00FD10A5">
      <w:pPr>
        <w:pStyle w:val="En-tte"/>
        <w:numPr>
          <w:ilvl w:val="0"/>
          <w:numId w:val="4"/>
        </w:numPr>
        <w:tabs>
          <w:tab w:val="left" w:pos="1134"/>
        </w:tabs>
        <w:rPr>
          <w:rFonts w:ascii="Arial" w:hAnsi="Arial"/>
          <w:b/>
          <w:sz w:val="20"/>
        </w:rPr>
      </w:pPr>
      <w:r>
        <w:rPr>
          <w:rFonts w:ascii="Arial" w:hAnsi="Arial"/>
          <w:b/>
          <w:sz w:val="20"/>
        </w:rPr>
        <w:t xml:space="preserve">La </w:t>
      </w:r>
      <w:r w:rsidR="00FD10A5" w:rsidRPr="00B83067">
        <w:rPr>
          <w:rFonts w:ascii="Arial" w:hAnsi="Arial"/>
          <w:b/>
          <w:sz w:val="20"/>
        </w:rPr>
        <w:t>loi</w:t>
      </w:r>
      <w:r>
        <w:rPr>
          <w:rFonts w:ascii="Arial" w:hAnsi="Arial"/>
          <w:b/>
          <w:sz w:val="20"/>
        </w:rPr>
        <w:t xml:space="preserve"> n°2020-290 du 23 mars 2020</w:t>
      </w:r>
      <w:r w:rsidR="00FD10A5" w:rsidRPr="00B83067">
        <w:rPr>
          <w:rFonts w:ascii="Arial" w:hAnsi="Arial"/>
          <w:b/>
          <w:sz w:val="20"/>
        </w:rPr>
        <w:t xml:space="preserve"> d’urgence pour faire face à l’épidémie de covid-19 habilite le Gouvernement à légiférer par ordonnance pour adapter les modalités de détermination de cette durée. L’objectif est de préserver la situation des demandeurs d’emploi arrivant en fin de droits au cours de la période de confinement. </w:t>
      </w:r>
    </w:p>
    <w:p w:rsidR="00FD10A5" w:rsidRDefault="00FD10A5" w:rsidP="00FD10A5">
      <w:pPr>
        <w:pStyle w:val="Paragraphedeliste"/>
        <w:rPr>
          <w:rFonts w:ascii="Arial" w:hAnsi="Arial"/>
          <w:sz w:val="20"/>
        </w:rPr>
      </w:pPr>
    </w:p>
    <w:p w:rsidR="00FD10A5" w:rsidRDefault="00FD10A5" w:rsidP="00FD10A5">
      <w:pPr>
        <w:pStyle w:val="En-tte"/>
        <w:numPr>
          <w:ilvl w:val="0"/>
          <w:numId w:val="4"/>
        </w:numPr>
        <w:tabs>
          <w:tab w:val="left" w:pos="1134"/>
        </w:tabs>
        <w:rPr>
          <w:rFonts w:ascii="Arial" w:hAnsi="Arial"/>
          <w:sz w:val="20"/>
        </w:rPr>
      </w:pPr>
      <w:r>
        <w:rPr>
          <w:rFonts w:ascii="Arial" w:hAnsi="Arial"/>
          <w:sz w:val="20"/>
        </w:rPr>
        <w:t>Une ordonnance est en cours de préparation pour prolonger la durée d’indemnisation chômage de tous les demandeurs d’emploi dont les droits à indemnisation sont épuisés au cours d’une période donnée.</w:t>
      </w:r>
    </w:p>
    <w:p w:rsidR="00FD10A5" w:rsidRDefault="00FD10A5" w:rsidP="00FD10A5">
      <w:pPr>
        <w:pStyle w:val="Paragraphedeliste"/>
        <w:rPr>
          <w:rFonts w:ascii="Arial" w:hAnsi="Arial"/>
          <w:sz w:val="20"/>
        </w:rPr>
      </w:pPr>
    </w:p>
    <w:p w:rsidR="00FD10A5" w:rsidRDefault="00FD10A5" w:rsidP="00FD10A5">
      <w:pPr>
        <w:pStyle w:val="En-tte"/>
        <w:numPr>
          <w:ilvl w:val="0"/>
          <w:numId w:val="4"/>
        </w:numPr>
        <w:tabs>
          <w:tab w:val="left" w:pos="1134"/>
        </w:tabs>
        <w:rPr>
          <w:rFonts w:ascii="Arial" w:hAnsi="Arial"/>
          <w:sz w:val="20"/>
        </w:rPr>
      </w:pPr>
      <w:r>
        <w:rPr>
          <w:rFonts w:ascii="Arial" w:hAnsi="Arial"/>
          <w:sz w:val="20"/>
        </w:rPr>
        <w:t xml:space="preserve">Pour les employeurs publics qui ont adhéré au régime d’assurance chômage, ce sont l’Unédic et Pôle emploi qui se chargeront de la mise en œuvre opérationnelle de ce dispositif. </w:t>
      </w:r>
    </w:p>
    <w:p w:rsidR="00FD10A5" w:rsidRDefault="00FD10A5" w:rsidP="00FD10A5">
      <w:pPr>
        <w:pStyle w:val="Paragraphedeliste"/>
        <w:rPr>
          <w:rFonts w:ascii="Arial" w:hAnsi="Arial"/>
          <w:sz w:val="20"/>
        </w:rPr>
      </w:pPr>
    </w:p>
    <w:p w:rsidR="00FD10A5" w:rsidRDefault="00FD10A5" w:rsidP="00FD10A5">
      <w:pPr>
        <w:pStyle w:val="En-tte"/>
        <w:numPr>
          <w:ilvl w:val="0"/>
          <w:numId w:val="4"/>
        </w:numPr>
        <w:tabs>
          <w:tab w:val="left" w:pos="1134"/>
        </w:tabs>
        <w:rPr>
          <w:rFonts w:ascii="Arial" w:hAnsi="Arial"/>
          <w:sz w:val="20"/>
        </w:rPr>
      </w:pPr>
      <w:r>
        <w:rPr>
          <w:rFonts w:ascii="Arial" w:hAnsi="Arial"/>
          <w:sz w:val="20"/>
        </w:rPr>
        <w:t>Pour les employeurs pub</w:t>
      </w:r>
      <w:r w:rsidR="00D05561">
        <w:rPr>
          <w:rFonts w:ascii="Arial" w:hAnsi="Arial"/>
          <w:sz w:val="20"/>
        </w:rPr>
        <w:t xml:space="preserve">lics qui sont en auto-assurance, deux possibilités existent : </w:t>
      </w:r>
    </w:p>
    <w:p w:rsidR="00D05561" w:rsidRDefault="00D05561" w:rsidP="00D05561">
      <w:pPr>
        <w:pStyle w:val="Paragraphedeliste"/>
        <w:rPr>
          <w:rFonts w:ascii="Arial" w:hAnsi="Arial"/>
          <w:sz w:val="20"/>
        </w:rPr>
      </w:pPr>
    </w:p>
    <w:p w:rsidR="00D05561" w:rsidRDefault="00D05561" w:rsidP="00D05561">
      <w:pPr>
        <w:pStyle w:val="En-tte"/>
        <w:numPr>
          <w:ilvl w:val="0"/>
          <w:numId w:val="7"/>
        </w:numPr>
        <w:tabs>
          <w:tab w:val="left" w:pos="1134"/>
        </w:tabs>
        <w:rPr>
          <w:rFonts w:ascii="Arial" w:hAnsi="Arial"/>
          <w:sz w:val="20"/>
        </w:rPr>
      </w:pPr>
      <w:r>
        <w:rPr>
          <w:rFonts w:ascii="Arial" w:hAnsi="Arial"/>
          <w:sz w:val="20"/>
        </w:rPr>
        <w:t>s’ils ont délégué la gestion de l’indemnisation chômage à Pôle emploi, Pôle emploi devrait se charger de la mise en œuvre opérationnelle de cette prolongation. Les employeurs devront continuer de régler les factures que Pôle emploi leur adresse dans ce cadre conventionnel, au titre de la gestion de l’indemnisation chômage ;</w:t>
      </w:r>
    </w:p>
    <w:p w:rsidR="00D05561" w:rsidRDefault="00D05561" w:rsidP="00D05561">
      <w:pPr>
        <w:pStyle w:val="En-tte"/>
        <w:tabs>
          <w:tab w:val="left" w:pos="1134"/>
        </w:tabs>
        <w:ind w:left="1080"/>
        <w:rPr>
          <w:rFonts w:ascii="Arial" w:hAnsi="Arial"/>
          <w:sz w:val="20"/>
        </w:rPr>
      </w:pPr>
    </w:p>
    <w:p w:rsidR="00D05561" w:rsidRDefault="00D05561" w:rsidP="00D05561">
      <w:pPr>
        <w:pStyle w:val="En-tte"/>
        <w:numPr>
          <w:ilvl w:val="0"/>
          <w:numId w:val="7"/>
        </w:numPr>
        <w:tabs>
          <w:tab w:val="left" w:pos="1134"/>
        </w:tabs>
        <w:rPr>
          <w:rFonts w:ascii="Arial" w:hAnsi="Arial"/>
          <w:sz w:val="20"/>
        </w:rPr>
      </w:pPr>
      <w:r>
        <w:rPr>
          <w:rFonts w:ascii="Arial" w:hAnsi="Arial"/>
          <w:sz w:val="20"/>
        </w:rPr>
        <w:t xml:space="preserve">s’ils n’ont pas délégué la gestion de l’indemnisation chômage à Pôle emploi, ils versent donc par eux-mêmes l’allocation chômage à leurs anciens agents. Il leur reviendra ainsi de mettre en œuvre dès que possible les mesures visant à prolonger la durée d’indemnisation des demandeurs d’emploi en fin de droits sur la période qui sera fixée par ordonnance. </w:t>
      </w:r>
    </w:p>
    <w:p w:rsidR="00D05561" w:rsidRPr="00B83067" w:rsidRDefault="00D05561" w:rsidP="00B83067">
      <w:pPr>
        <w:rPr>
          <w:rFonts w:ascii="Arial" w:hAnsi="Arial"/>
          <w:sz w:val="20"/>
        </w:rPr>
      </w:pPr>
    </w:p>
    <w:p w:rsidR="005F1B3D" w:rsidRDefault="005F1B3D" w:rsidP="005F1B3D">
      <w:pPr>
        <w:pStyle w:val="NormalWeb"/>
      </w:pPr>
      <w:r>
        <w:rPr>
          <w:rFonts w:ascii="Arial" w:hAnsi="Arial" w:cs="Arial"/>
          <w:sz w:val="20"/>
          <w:szCs w:val="20"/>
        </w:rPr>
        <w:t>Chaque collectivité territoriale est bien sûr appelée à avertir ses établissements publics afin de s’assurer que ces consignes soient bien appliquées.</w:t>
      </w:r>
    </w:p>
    <w:p w:rsidR="00E80E2E" w:rsidRDefault="00E80E2E" w:rsidP="00D05561">
      <w:pPr>
        <w:pStyle w:val="En-tte"/>
        <w:tabs>
          <w:tab w:val="left" w:pos="1134"/>
        </w:tabs>
        <w:rPr>
          <w:rFonts w:ascii="Arial" w:hAnsi="Arial"/>
          <w:sz w:val="20"/>
        </w:rPr>
      </w:pPr>
    </w:p>
    <w:sectPr w:rsidR="00E80E2E" w:rsidSect="00D05561">
      <w:pgSz w:w="11907" w:h="16840" w:code="9"/>
      <w:pgMar w:top="993" w:right="1276" w:bottom="567" w:left="1134" w:header="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1C4" w:rsidRDefault="008B71C4" w:rsidP="00414373">
      <w:r>
        <w:separator/>
      </w:r>
    </w:p>
  </w:endnote>
  <w:endnote w:type="continuationSeparator" w:id="0">
    <w:p w:rsidR="008B71C4" w:rsidRDefault="008B71C4" w:rsidP="00414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1C4" w:rsidRDefault="008B71C4" w:rsidP="00414373">
      <w:r>
        <w:separator/>
      </w:r>
    </w:p>
  </w:footnote>
  <w:footnote w:type="continuationSeparator" w:id="0">
    <w:p w:rsidR="008B71C4" w:rsidRDefault="008B71C4" w:rsidP="00414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788"/>
        </w:tabs>
        <w:ind w:left="788" w:hanging="360"/>
      </w:pPr>
      <w:rPr>
        <w:rFonts w:ascii="Symbol" w:hAnsi="Symbol" w:cs="Symbol"/>
      </w:rPr>
    </w:lvl>
  </w:abstractNum>
  <w:abstractNum w:abstractNumId="4">
    <w:nsid w:val="00000005"/>
    <w:multiLevelType w:val="multilevel"/>
    <w:tmpl w:val="00000005"/>
    <w:name w:val="WW8Num9"/>
    <w:lvl w:ilvl="0">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1ED5771A"/>
    <w:multiLevelType w:val="hybridMultilevel"/>
    <w:tmpl w:val="2154F154"/>
    <w:lvl w:ilvl="0" w:tplc="E83011BE">
      <w:numFmt w:val="bullet"/>
      <w:lvlText w:val="-"/>
      <w:lvlJc w:val="left"/>
      <w:pPr>
        <w:ind w:left="1413" w:hanging="705"/>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EF71548"/>
    <w:multiLevelType w:val="hybridMultilevel"/>
    <w:tmpl w:val="C944DFE2"/>
    <w:lvl w:ilvl="0" w:tplc="6C22DEA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F832512"/>
    <w:multiLevelType w:val="hybridMultilevel"/>
    <w:tmpl w:val="A11057B4"/>
    <w:lvl w:ilvl="0" w:tplc="9DBEF6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6414BB"/>
    <w:multiLevelType w:val="hybridMultilevel"/>
    <w:tmpl w:val="E41819C0"/>
    <w:lvl w:ilvl="0" w:tplc="9DBEF692">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64FA08F1"/>
    <w:multiLevelType w:val="hybridMultilevel"/>
    <w:tmpl w:val="653646F8"/>
    <w:lvl w:ilvl="0" w:tplc="C8FE3E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925D67"/>
    <w:multiLevelType w:val="hybridMultilevel"/>
    <w:tmpl w:val="49467C30"/>
    <w:lvl w:ilvl="0" w:tplc="9DBEF6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5D1CC3"/>
    <w:multiLevelType w:val="hybridMultilevel"/>
    <w:tmpl w:val="F40E8332"/>
    <w:lvl w:ilvl="0" w:tplc="9DBEF692">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11"/>
  </w:num>
  <w:num w:numId="3">
    <w:abstractNumId w:val="7"/>
  </w:num>
  <w:num w:numId="4">
    <w:abstractNumId w:val="10"/>
  </w:num>
  <w:num w:numId="5">
    <w:abstractNumId w:val="8"/>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attachedTemplate r:id="rId1"/>
  <w:defaultTabStop w:val="708"/>
  <w:hyphenationZone w:val="425"/>
  <w:displayHorizontalDrawingGridEvery w:val="0"/>
  <w:displayVerticalDrawingGridEvery w:val="0"/>
  <w:doNotUseMarginsForDrawingGridOrigin/>
  <w:characterSpacingControl w:val="doNotCompress"/>
  <w:hdrShapeDefaults>
    <o:shapedefaults v:ext="edit" spidmax="14338"/>
  </w:hdrShapeDefaults>
  <w:footnotePr>
    <w:footnote w:id="-1"/>
    <w:footnote w:id="0"/>
  </w:footnotePr>
  <w:endnotePr>
    <w:endnote w:id="-1"/>
    <w:endnote w:id="0"/>
  </w:endnotePr>
  <w:compat/>
  <w:rsids>
    <w:rsidRoot w:val="00E80E2E"/>
    <w:rsid w:val="00001AC1"/>
    <w:rsid w:val="00006A73"/>
    <w:rsid w:val="00010B54"/>
    <w:rsid w:val="00013D2F"/>
    <w:rsid w:val="00016736"/>
    <w:rsid w:val="000252FB"/>
    <w:rsid w:val="00031144"/>
    <w:rsid w:val="0003471C"/>
    <w:rsid w:val="00042B27"/>
    <w:rsid w:val="000438DC"/>
    <w:rsid w:val="00045C76"/>
    <w:rsid w:val="00051FC6"/>
    <w:rsid w:val="00057CE9"/>
    <w:rsid w:val="00064095"/>
    <w:rsid w:val="00064A94"/>
    <w:rsid w:val="00065497"/>
    <w:rsid w:val="00065A6C"/>
    <w:rsid w:val="00072975"/>
    <w:rsid w:val="00073EA6"/>
    <w:rsid w:val="00082DAE"/>
    <w:rsid w:val="000844D2"/>
    <w:rsid w:val="00087592"/>
    <w:rsid w:val="00091CA4"/>
    <w:rsid w:val="00091FE9"/>
    <w:rsid w:val="00092633"/>
    <w:rsid w:val="000A08C3"/>
    <w:rsid w:val="000A17A3"/>
    <w:rsid w:val="000A57EA"/>
    <w:rsid w:val="000A7CAF"/>
    <w:rsid w:val="000C179E"/>
    <w:rsid w:val="000C3019"/>
    <w:rsid w:val="000C6A0C"/>
    <w:rsid w:val="000D06AA"/>
    <w:rsid w:val="000D1247"/>
    <w:rsid w:val="000E01DD"/>
    <w:rsid w:val="000E2CCD"/>
    <w:rsid w:val="000E6DF7"/>
    <w:rsid w:val="0010233E"/>
    <w:rsid w:val="00104A93"/>
    <w:rsid w:val="00114D37"/>
    <w:rsid w:val="00115BBC"/>
    <w:rsid w:val="0012148B"/>
    <w:rsid w:val="00121E7B"/>
    <w:rsid w:val="00125EDE"/>
    <w:rsid w:val="00127091"/>
    <w:rsid w:val="0012769D"/>
    <w:rsid w:val="00130E7F"/>
    <w:rsid w:val="0013308A"/>
    <w:rsid w:val="001368F6"/>
    <w:rsid w:val="00137770"/>
    <w:rsid w:val="001407D8"/>
    <w:rsid w:val="001409A0"/>
    <w:rsid w:val="00145474"/>
    <w:rsid w:val="00157C50"/>
    <w:rsid w:val="001606CD"/>
    <w:rsid w:val="00162FDE"/>
    <w:rsid w:val="00170159"/>
    <w:rsid w:val="00183A44"/>
    <w:rsid w:val="00192088"/>
    <w:rsid w:val="00196A9A"/>
    <w:rsid w:val="00196EE9"/>
    <w:rsid w:val="001A0E65"/>
    <w:rsid w:val="001A11B6"/>
    <w:rsid w:val="001A2BC8"/>
    <w:rsid w:val="001A5F18"/>
    <w:rsid w:val="001B458C"/>
    <w:rsid w:val="001C132F"/>
    <w:rsid w:val="001C4D13"/>
    <w:rsid w:val="001C64A9"/>
    <w:rsid w:val="001C719C"/>
    <w:rsid w:val="001D4BBF"/>
    <w:rsid w:val="001D66A1"/>
    <w:rsid w:val="001D7040"/>
    <w:rsid w:val="001E0578"/>
    <w:rsid w:val="001E245B"/>
    <w:rsid w:val="001F05C9"/>
    <w:rsid w:val="001F18E1"/>
    <w:rsid w:val="001F1F03"/>
    <w:rsid w:val="00205A17"/>
    <w:rsid w:val="002063DE"/>
    <w:rsid w:val="00206512"/>
    <w:rsid w:val="00207596"/>
    <w:rsid w:val="00210B92"/>
    <w:rsid w:val="00214CE4"/>
    <w:rsid w:val="002150D4"/>
    <w:rsid w:val="00216C93"/>
    <w:rsid w:val="00222B5F"/>
    <w:rsid w:val="002231D0"/>
    <w:rsid w:val="00224570"/>
    <w:rsid w:val="0022543E"/>
    <w:rsid w:val="00234025"/>
    <w:rsid w:val="00263717"/>
    <w:rsid w:val="00263C5B"/>
    <w:rsid w:val="00265835"/>
    <w:rsid w:val="00266D13"/>
    <w:rsid w:val="00270538"/>
    <w:rsid w:val="0028416F"/>
    <w:rsid w:val="00285F80"/>
    <w:rsid w:val="0029082A"/>
    <w:rsid w:val="00297923"/>
    <w:rsid w:val="002A7422"/>
    <w:rsid w:val="002B4D4F"/>
    <w:rsid w:val="002B587E"/>
    <w:rsid w:val="002B780B"/>
    <w:rsid w:val="002C1D53"/>
    <w:rsid w:val="002D210A"/>
    <w:rsid w:val="002D2F34"/>
    <w:rsid w:val="002D401A"/>
    <w:rsid w:val="002E06E6"/>
    <w:rsid w:val="002E0F47"/>
    <w:rsid w:val="002E3154"/>
    <w:rsid w:val="002E3EA0"/>
    <w:rsid w:val="002E550F"/>
    <w:rsid w:val="002E6C9D"/>
    <w:rsid w:val="002F2CA1"/>
    <w:rsid w:val="002F2F81"/>
    <w:rsid w:val="002F3DE3"/>
    <w:rsid w:val="002F4B4C"/>
    <w:rsid w:val="003012D3"/>
    <w:rsid w:val="00302D19"/>
    <w:rsid w:val="00303459"/>
    <w:rsid w:val="003045F7"/>
    <w:rsid w:val="00304663"/>
    <w:rsid w:val="003132B9"/>
    <w:rsid w:val="003134DE"/>
    <w:rsid w:val="0032270C"/>
    <w:rsid w:val="003262D5"/>
    <w:rsid w:val="00341278"/>
    <w:rsid w:val="00341E81"/>
    <w:rsid w:val="00343C22"/>
    <w:rsid w:val="0035496C"/>
    <w:rsid w:val="00374D2B"/>
    <w:rsid w:val="00375218"/>
    <w:rsid w:val="00376060"/>
    <w:rsid w:val="00385F1D"/>
    <w:rsid w:val="00386B74"/>
    <w:rsid w:val="0038779F"/>
    <w:rsid w:val="0039105D"/>
    <w:rsid w:val="00395259"/>
    <w:rsid w:val="003A373B"/>
    <w:rsid w:val="003A39AF"/>
    <w:rsid w:val="003A7CA9"/>
    <w:rsid w:val="003B2E9F"/>
    <w:rsid w:val="003B5CA3"/>
    <w:rsid w:val="003C27A7"/>
    <w:rsid w:val="003C3572"/>
    <w:rsid w:val="003C776F"/>
    <w:rsid w:val="003D37C2"/>
    <w:rsid w:val="003D6B33"/>
    <w:rsid w:val="003E0752"/>
    <w:rsid w:val="003E260B"/>
    <w:rsid w:val="003E6EF9"/>
    <w:rsid w:val="003F03D9"/>
    <w:rsid w:val="003F167E"/>
    <w:rsid w:val="003F26F1"/>
    <w:rsid w:val="003F708C"/>
    <w:rsid w:val="0040109A"/>
    <w:rsid w:val="00403791"/>
    <w:rsid w:val="004055AD"/>
    <w:rsid w:val="004067C8"/>
    <w:rsid w:val="00406CF7"/>
    <w:rsid w:val="00413F93"/>
    <w:rsid w:val="00414373"/>
    <w:rsid w:val="00421C82"/>
    <w:rsid w:val="004257ED"/>
    <w:rsid w:val="0043356A"/>
    <w:rsid w:val="004416FF"/>
    <w:rsid w:val="00450CE0"/>
    <w:rsid w:val="004534AE"/>
    <w:rsid w:val="00454811"/>
    <w:rsid w:val="00454BE6"/>
    <w:rsid w:val="0046383B"/>
    <w:rsid w:val="00472F89"/>
    <w:rsid w:val="00474F23"/>
    <w:rsid w:val="004756BB"/>
    <w:rsid w:val="00476173"/>
    <w:rsid w:val="0047631F"/>
    <w:rsid w:val="004910B1"/>
    <w:rsid w:val="0049379C"/>
    <w:rsid w:val="00495F26"/>
    <w:rsid w:val="00497A98"/>
    <w:rsid w:val="004A68B2"/>
    <w:rsid w:val="004B1A1E"/>
    <w:rsid w:val="004B4582"/>
    <w:rsid w:val="004B5B11"/>
    <w:rsid w:val="004B689D"/>
    <w:rsid w:val="004C593B"/>
    <w:rsid w:val="004C65F2"/>
    <w:rsid w:val="004E1D13"/>
    <w:rsid w:val="004E4291"/>
    <w:rsid w:val="004F15CC"/>
    <w:rsid w:val="004F60CE"/>
    <w:rsid w:val="004F67AA"/>
    <w:rsid w:val="005004A8"/>
    <w:rsid w:val="00503DF1"/>
    <w:rsid w:val="00507929"/>
    <w:rsid w:val="00511F17"/>
    <w:rsid w:val="00516F36"/>
    <w:rsid w:val="00517D7B"/>
    <w:rsid w:val="005243A3"/>
    <w:rsid w:val="005258EE"/>
    <w:rsid w:val="005268D0"/>
    <w:rsid w:val="00530B9C"/>
    <w:rsid w:val="005340E4"/>
    <w:rsid w:val="00536FC5"/>
    <w:rsid w:val="00542430"/>
    <w:rsid w:val="00553B8E"/>
    <w:rsid w:val="00560B82"/>
    <w:rsid w:val="0056138C"/>
    <w:rsid w:val="0057096F"/>
    <w:rsid w:val="00572B31"/>
    <w:rsid w:val="00573ED7"/>
    <w:rsid w:val="005877C7"/>
    <w:rsid w:val="005930CE"/>
    <w:rsid w:val="005975BA"/>
    <w:rsid w:val="00597738"/>
    <w:rsid w:val="005B45AA"/>
    <w:rsid w:val="005C380B"/>
    <w:rsid w:val="005C76F0"/>
    <w:rsid w:val="005F1B3D"/>
    <w:rsid w:val="005F30F6"/>
    <w:rsid w:val="005F4902"/>
    <w:rsid w:val="0060378E"/>
    <w:rsid w:val="00610B81"/>
    <w:rsid w:val="0061354E"/>
    <w:rsid w:val="00621876"/>
    <w:rsid w:val="006233C5"/>
    <w:rsid w:val="006252F6"/>
    <w:rsid w:val="006330FB"/>
    <w:rsid w:val="0063315D"/>
    <w:rsid w:val="00635803"/>
    <w:rsid w:val="00653F4A"/>
    <w:rsid w:val="0065735E"/>
    <w:rsid w:val="006656C1"/>
    <w:rsid w:val="00671C90"/>
    <w:rsid w:val="006768B0"/>
    <w:rsid w:val="00686BAF"/>
    <w:rsid w:val="00694481"/>
    <w:rsid w:val="00694EB6"/>
    <w:rsid w:val="006A539C"/>
    <w:rsid w:val="006B26BC"/>
    <w:rsid w:val="006B3B42"/>
    <w:rsid w:val="006B4180"/>
    <w:rsid w:val="006C4D71"/>
    <w:rsid w:val="006C7A69"/>
    <w:rsid w:val="006D1219"/>
    <w:rsid w:val="006D25EF"/>
    <w:rsid w:val="006E043D"/>
    <w:rsid w:val="006E0AA4"/>
    <w:rsid w:val="006E4F6F"/>
    <w:rsid w:val="006E5C7F"/>
    <w:rsid w:val="006E793B"/>
    <w:rsid w:val="006F17E5"/>
    <w:rsid w:val="006F3A18"/>
    <w:rsid w:val="00704F2E"/>
    <w:rsid w:val="00705AC5"/>
    <w:rsid w:val="00713CB5"/>
    <w:rsid w:val="00721423"/>
    <w:rsid w:val="0074311E"/>
    <w:rsid w:val="007431B5"/>
    <w:rsid w:val="00744490"/>
    <w:rsid w:val="0074525F"/>
    <w:rsid w:val="007511D8"/>
    <w:rsid w:val="0075207B"/>
    <w:rsid w:val="00763D86"/>
    <w:rsid w:val="007675C4"/>
    <w:rsid w:val="007703AC"/>
    <w:rsid w:val="007708DA"/>
    <w:rsid w:val="00782673"/>
    <w:rsid w:val="00785218"/>
    <w:rsid w:val="0078626B"/>
    <w:rsid w:val="00797E31"/>
    <w:rsid w:val="007A4F3A"/>
    <w:rsid w:val="007B3E78"/>
    <w:rsid w:val="007B45D9"/>
    <w:rsid w:val="007C39A9"/>
    <w:rsid w:val="007C3B85"/>
    <w:rsid w:val="007C5032"/>
    <w:rsid w:val="007D1DA7"/>
    <w:rsid w:val="007D2543"/>
    <w:rsid w:val="007D4589"/>
    <w:rsid w:val="007D4F1C"/>
    <w:rsid w:val="007E5EB6"/>
    <w:rsid w:val="007E7552"/>
    <w:rsid w:val="007F3A06"/>
    <w:rsid w:val="00801599"/>
    <w:rsid w:val="0080185D"/>
    <w:rsid w:val="00805DE2"/>
    <w:rsid w:val="00811B22"/>
    <w:rsid w:val="00815F41"/>
    <w:rsid w:val="00822DFE"/>
    <w:rsid w:val="00825C1D"/>
    <w:rsid w:val="00825E25"/>
    <w:rsid w:val="00832C07"/>
    <w:rsid w:val="00841E26"/>
    <w:rsid w:val="00842DD6"/>
    <w:rsid w:val="00845F73"/>
    <w:rsid w:val="00864B7F"/>
    <w:rsid w:val="008651AA"/>
    <w:rsid w:val="00870087"/>
    <w:rsid w:val="00872526"/>
    <w:rsid w:val="00876143"/>
    <w:rsid w:val="00883489"/>
    <w:rsid w:val="008875DA"/>
    <w:rsid w:val="008876B1"/>
    <w:rsid w:val="008A4035"/>
    <w:rsid w:val="008A66F9"/>
    <w:rsid w:val="008B0C9F"/>
    <w:rsid w:val="008B2236"/>
    <w:rsid w:val="008B2787"/>
    <w:rsid w:val="008B6A83"/>
    <w:rsid w:val="008B71C4"/>
    <w:rsid w:val="008B77F5"/>
    <w:rsid w:val="008C2D84"/>
    <w:rsid w:val="008C4CCC"/>
    <w:rsid w:val="008D1007"/>
    <w:rsid w:val="008D359C"/>
    <w:rsid w:val="008F0178"/>
    <w:rsid w:val="008F25DD"/>
    <w:rsid w:val="008F70BA"/>
    <w:rsid w:val="009017E4"/>
    <w:rsid w:val="009102E3"/>
    <w:rsid w:val="0091249B"/>
    <w:rsid w:val="0091639C"/>
    <w:rsid w:val="009259AA"/>
    <w:rsid w:val="00927A29"/>
    <w:rsid w:val="00927D9C"/>
    <w:rsid w:val="009442E5"/>
    <w:rsid w:val="0094450C"/>
    <w:rsid w:val="009456B1"/>
    <w:rsid w:val="00954B7E"/>
    <w:rsid w:val="00963B54"/>
    <w:rsid w:val="0096559D"/>
    <w:rsid w:val="00967AD5"/>
    <w:rsid w:val="00970E34"/>
    <w:rsid w:val="00971042"/>
    <w:rsid w:val="009847D7"/>
    <w:rsid w:val="00993A3E"/>
    <w:rsid w:val="009A19D2"/>
    <w:rsid w:val="009B296B"/>
    <w:rsid w:val="009B745E"/>
    <w:rsid w:val="009C2365"/>
    <w:rsid w:val="009C3318"/>
    <w:rsid w:val="009C3C66"/>
    <w:rsid w:val="009C6DF1"/>
    <w:rsid w:val="009D577A"/>
    <w:rsid w:val="009E047E"/>
    <w:rsid w:val="009E1D3B"/>
    <w:rsid w:val="009E281D"/>
    <w:rsid w:val="009E310E"/>
    <w:rsid w:val="009E6F6F"/>
    <w:rsid w:val="00A1242B"/>
    <w:rsid w:val="00A12E18"/>
    <w:rsid w:val="00A17190"/>
    <w:rsid w:val="00A225AA"/>
    <w:rsid w:val="00A27D1B"/>
    <w:rsid w:val="00A327A6"/>
    <w:rsid w:val="00A338C5"/>
    <w:rsid w:val="00A33F30"/>
    <w:rsid w:val="00A3424C"/>
    <w:rsid w:val="00A52B36"/>
    <w:rsid w:val="00A561A4"/>
    <w:rsid w:val="00A56FCC"/>
    <w:rsid w:val="00A57290"/>
    <w:rsid w:val="00A61885"/>
    <w:rsid w:val="00A65537"/>
    <w:rsid w:val="00A74303"/>
    <w:rsid w:val="00A75EC9"/>
    <w:rsid w:val="00A824F6"/>
    <w:rsid w:val="00A833EF"/>
    <w:rsid w:val="00A9710D"/>
    <w:rsid w:val="00A97730"/>
    <w:rsid w:val="00AA7AAB"/>
    <w:rsid w:val="00AB2453"/>
    <w:rsid w:val="00AB57CF"/>
    <w:rsid w:val="00AC0120"/>
    <w:rsid w:val="00AC4C67"/>
    <w:rsid w:val="00AC528F"/>
    <w:rsid w:val="00AD18D1"/>
    <w:rsid w:val="00AD4FF2"/>
    <w:rsid w:val="00AD50D0"/>
    <w:rsid w:val="00AE3C4D"/>
    <w:rsid w:val="00AE546F"/>
    <w:rsid w:val="00AF08F1"/>
    <w:rsid w:val="00AF1210"/>
    <w:rsid w:val="00AF7E9C"/>
    <w:rsid w:val="00B02AB4"/>
    <w:rsid w:val="00B12979"/>
    <w:rsid w:val="00B14055"/>
    <w:rsid w:val="00B213AD"/>
    <w:rsid w:val="00B23E8D"/>
    <w:rsid w:val="00B30349"/>
    <w:rsid w:val="00B30572"/>
    <w:rsid w:val="00B32C06"/>
    <w:rsid w:val="00B36D0C"/>
    <w:rsid w:val="00B36F3C"/>
    <w:rsid w:val="00B42776"/>
    <w:rsid w:val="00B43AB4"/>
    <w:rsid w:val="00B51E52"/>
    <w:rsid w:val="00B55F4E"/>
    <w:rsid w:val="00B61F32"/>
    <w:rsid w:val="00B6357D"/>
    <w:rsid w:val="00B65697"/>
    <w:rsid w:val="00B658F8"/>
    <w:rsid w:val="00B667A5"/>
    <w:rsid w:val="00B83067"/>
    <w:rsid w:val="00B85E36"/>
    <w:rsid w:val="00B8619D"/>
    <w:rsid w:val="00B91D08"/>
    <w:rsid w:val="00B96C92"/>
    <w:rsid w:val="00BA1B9A"/>
    <w:rsid w:val="00BA5AFA"/>
    <w:rsid w:val="00BA76A3"/>
    <w:rsid w:val="00BB59E4"/>
    <w:rsid w:val="00BC0F49"/>
    <w:rsid w:val="00BC370D"/>
    <w:rsid w:val="00BC5F1C"/>
    <w:rsid w:val="00BD4B03"/>
    <w:rsid w:val="00BD4D71"/>
    <w:rsid w:val="00BE63C5"/>
    <w:rsid w:val="00BE6DBC"/>
    <w:rsid w:val="00BF049F"/>
    <w:rsid w:val="00BF072D"/>
    <w:rsid w:val="00BF5C18"/>
    <w:rsid w:val="00C00E0A"/>
    <w:rsid w:val="00C04E3C"/>
    <w:rsid w:val="00C05CC0"/>
    <w:rsid w:val="00C06681"/>
    <w:rsid w:val="00C076C7"/>
    <w:rsid w:val="00C1534C"/>
    <w:rsid w:val="00C16B56"/>
    <w:rsid w:val="00C2064D"/>
    <w:rsid w:val="00C242C1"/>
    <w:rsid w:val="00C25E59"/>
    <w:rsid w:val="00C32C33"/>
    <w:rsid w:val="00C36D8A"/>
    <w:rsid w:val="00C41AFB"/>
    <w:rsid w:val="00C4412D"/>
    <w:rsid w:val="00C44372"/>
    <w:rsid w:val="00C44B1C"/>
    <w:rsid w:val="00C46CF1"/>
    <w:rsid w:val="00C516D3"/>
    <w:rsid w:val="00C51B18"/>
    <w:rsid w:val="00C56B0C"/>
    <w:rsid w:val="00C56F69"/>
    <w:rsid w:val="00C60ED4"/>
    <w:rsid w:val="00C64D8C"/>
    <w:rsid w:val="00C71177"/>
    <w:rsid w:val="00C80415"/>
    <w:rsid w:val="00C84C9E"/>
    <w:rsid w:val="00C8543D"/>
    <w:rsid w:val="00C91293"/>
    <w:rsid w:val="00C9181D"/>
    <w:rsid w:val="00C92AE4"/>
    <w:rsid w:val="00C949D7"/>
    <w:rsid w:val="00CC3AD6"/>
    <w:rsid w:val="00CC49D0"/>
    <w:rsid w:val="00CD4131"/>
    <w:rsid w:val="00CE02EC"/>
    <w:rsid w:val="00CE0AF8"/>
    <w:rsid w:val="00CE7E48"/>
    <w:rsid w:val="00CF2AD4"/>
    <w:rsid w:val="00CF6E43"/>
    <w:rsid w:val="00D02462"/>
    <w:rsid w:val="00D05561"/>
    <w:rsid w:val="00D1290D"/>
    <w:rsid w:val="00D12F9B"/>
    <w:rsid w:val="00D2476C"/>
    <w:rsid w:val="00D340EF"/>
    <w:rsid w:val="00D55E21"/>
    <w:rsid w:val="00D57235"/>
    <w:rsid w:val="00D57323"/>
    <w:rsid w:val="00D5763C"/>
    <w:rsid w:val="00D7444E"/>
    <w:rsid w:val="00D76A9D"/>
    <w:rsid w:val="00D81DBC"/>
    <w:rsid w:val="00D85678"/>
    <w:rsid w:val="00D86BD9"/>
    <w:rsid w:val="00D9021A"/>
    <w:rsid w:val="00DA07B4"/>
    <w:rsid w:val="00DA1161"/>
    <w:rsid w:val="00DA5B52"/>
    <w:rsid w:val="00DB3CF1"/>
    <w:rsid w:val="00DC50B6"/>
    <w:rsid w:val="00DD03B1"/>
    <w:rsid w:val="00DD1E3A"/>
    <w:rsid w:val="00DD26C7"/>
    <w:rsid w:val="00DD43BC"/>
    <w:rsid w:val="00DE1039"/>
    <w:rsid w:val="00DE5033"/>
    <w:rsid w:val="00DF583D"/>
    <w:rsid w:val="00DF5A32"/>
    <w:rsid w:val="00E01CB4"/>
    <w:rsid w:val="00E02666"/>
    <w:rsid w:val="00E02B82"/>
    <w:rsid w:val="00E11A6C"/>
    <w:rsid w:val="00E14221"/>
    <w:rsid w:val="00E21272"/>
    <w:rsid w:val="00E24C3A"/>
    <w:rsid w:val="00E2711E"/>
    <w:rsid w:val="00E33BB4"/>
    <w:rsid w:val="00E540A4"/>
    <w:rsid w:val="00E62538"/>
    <w:rsid w:val="00E62C99"/>
    <w:rsid w:val="00E70E59"/>
    <w:rsid w:val="00E7137E"/>
    <w:rsid w:val="00E77599"/>
    <w:rsid w:val="00E80E2E"/>
    <w:rsid w:val="00E8245D"/>
    <w:rsid w:val="00E850AA"/>
    <w:rsid w:val="00E90D2D"/>
    <w:rsid w:val="00E918F4"/>
    <w:rsid w:val="00E920D7"/>
    <w:rsid w:val="00E96046"/>
    <w:rsid w:val="00E97D06"/>
    <w:rsid w:val="00EA35E7"/>
    <w:rsid w:val="00EA3CA1"/>
    <w:rsid w:val="00EA61A7"/>
    <w:rsid w:val="00EA69E1"/>
    <w:rsid w:val="00EB01A4"/>
    <w:rsid w:val="00EB1227"/>
    <w:rsid w:val="00EB32E5"/>
    <w:rsid w:val="00EC3444"/>
    <w:rsid w:val="00EC4AFE"/>
    <w:rsid w:val="00ED0726"/>
    <w:rsid w:val="00ED3760"/>
    <w:rsid w:val="00ED719D"/>
    <w:rsid w:val="00EE2CCD"/>
    <w:rsid w:val="00EE6E47"/>
    <w:rsid w:val="00EF4D3C"/>
    <w:rsid w:val="00F076E4"/>
    <w:rsid w:val="00F1115C"/>
    <w:rsid w:val="00F13042"/>
    <w:rsid w:val="00F15ACE"/>
    <w:rsid w:val="00F20BDD"/>
    <w:rsid w:val="00F22471"/>
    <w:rsid w:val="00F25EAA"/>
    <w:rsid w:val="00F3420E"/>
    <w:rsid w:val="00F34B18"/>
    <w:rsid w:val="00F34D6C"/>
    <w:rsid w:val="00F42991"/>
    <w:rsid w:val="00F4420F"/>
    <w:rsid w:val="00F46B7D"/>
    <w:rsid w:val="00F51B13"/>
    <w:rsid w:val="00F53DA8"/>
    <w:rsid w:val="00F63146"/>
    <w:rsid w:val="00F63CBC"/>
    <w:rsid w:val="00F771C1"/>
    <w:rsid w:val="00F81A7B"/>
    <w:rsid w:val="00F8416C"/>
    <w:rsid w:val="00F861C6"/>
    <w:rsid w:val="00F875FB"/>
    <w:rsid w:val="00F90239"/>
    <w:rsid w:val="00F9061B"/>
    <w:rsid w:val="00F95BBA"/>
    <w:rsid w:val="00FA03D9"/>
    <w:rsid w:val="00FB1814"/>
    <w:rsid w:val="00FB550E"/>
    <w:rsid w:val="00FD10A5"/>
    <w:rsid w:val="00FE09CD"/>
    <w:rsid w:val="00FE2457"/>
    <w:rsid w:val="00FE3150"/>
    <w:rsid w:val="00FE36D6"/>
    <w:rsid w:val="00FE4234"/>
    <w:rsid w:val="00FE45B7"/>
    <w:rsid w:val="00FF59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21"/>
    <w:pPr>
      <w:jc w:val="both"/>
    </w:pPr>
    <w:rPr>
      <w:sz w:val="24"/>
    </w:rPr>
  </w:style>
  <w:style w:type="paragraph" w:styleId="Titre3">
    <w:name w:val="heading 3"/>
    <w:basedOn w:val="Normal"/>
    <w:next w:val="Normal"/>
    <w:qFormat/>
    <w:rsid w:val="003262D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E14221"/>
    <w:pPr>
      <w:jc w:val="left"/>
    </w:pPr>
    <w:rPr>
      <w:rFonts w:ascii="Arial Narrow" w:hAnsi="Arial Narrow"/>
      <w:sz w:val="16"/>
    </w:rPr>
  </w:style>
  <w:style w:type="paragraph" w:styleId="En-tte">
    <w:name w:val="header"/>
    <w:basedOn w:val="Normal"/>
    <w:link w:val="En-tteCar"/>
    <w:rsid w:val="00E14221"/>
    <w:pPr>
      <w:tabs>
        <w:tab w:val="center" w:pos="4536"/>
        <w:tab w:val="right" w:pos="9072"/>
      </w:tabs>
    </w:pPr>
  </w:style>
  <w:style w:type="paragraph" w:styleId="Pieddepage">
    <w:name w:val="footer"/>
    <w:basedOn w:val="Normal"/>
    <w:rsid w:val="00E14221"/>
    <w:pPr>
      <w:tabs>
        <w:tab w:val="center" w:pos="4536"/>
        <w:tab w:val="right" w:pos="9072"/>
      </w:tabs>
    </w:pPr>
  </w:style>
  <w:style w:type="character" w:styleId="Numrodepage">
    <w:name w:val="page number"/>
    <w:rsid w:val="00E14221"/>
    <w:rPr>
      <w:rFonts w:cs="Times New Roman"/>
    </w:rPr>
  </w:style>
  <w:style w:type="paragraph" w:styleId="Textedebulles">
    <w:name w:val="Balloon Text"/>
    <w:basedOn w:val="Normal"/>
    <w:semiHidden/>
    <w:rsid w:val="00130E7F"/>
    <w:rPr>
      <w:rFonts w:ascii="Tahoma" w:hAnsi="Tahoma" w:cs="Tahoma"/>
      <w:sz w:val="16"/>
      <w:szCs w:val="16"/>
    </w:rPr>
  </w:style>
  <w:style w:type="paragraph" w:customStyle="1" w:styleId="rtecenter">
    <w:name w:val="rtecenter"/>
    <w:basedOn w:val="Normal"/>
    <w:rsid w:val="00C04E3C"/>
    <w:pPr>
      <w:spacing w:before="100" w:beforeAutospacing="1" w:after="100" w:afterAutospacing="1"/>
      <w:jc w:val="center"/>
    </w:pPr>
    <w:rPr>
      <w:szCs w:val="24"/>
    </w:rPr>
  </w:style>
  <w:style w:type="paragraph" w:customStyle="1" w:styleId="Car1CharCarCharCarCharCarCarCar">
    <w:name w:val="Car1 Char Car Char Car Char Car Car Car"/>
    <w:basedOn w:val="Normal"/>
    <w:rsid w:val="006E4F6F"/>
    <w:pPr>
      <w:spacing w:before="60" w:after="160" w:line="240" w:lineRule="exact"/>
    </w:pPr>
    <w:rPr>
      <w:rFonts w:ascii="Verdana" w:hAnsi="Verdana" w:cs="Tahoma"/>
      <w:sz w:val="22"/>
      <w:lang w:val="en-US" w:eastAsia="zh-CN"/>
    </w:rPr>
  </w:style>
  <w:style w:type="character" w:customStyle="1" w:styleId="En-tteCar">
    <w:name w:val="En-tête Car"/>
    <w:link w:val="En-tte"/>
    <w:rsid w:val="006E4F6F"/>
    <w:rPr>
      <w:sz w:val="24"/>
      <w:lang w:val="fr-FR" w:eastAsia="fr-FR" w:bidi="ar-SA"/>
    </w:rPr>
  </w:style>
  <w:style w:type="character" w:styleId="Marquedecommentaire">
    <w:name w:val="annotation reference"/>
    <w:semiHidden/>
    <w:rsid w:val="0012148B"/>
    <w:rPr>
      <w:sz w:val="16"/>
      <w:szCs w:val="16"/>
    </w:rPr>
  </w:style>
  <w:style w:type="paragraph" w:styleId="Commentaire">
    <w:name w:val="annotation text"/>
    <w:basedOn w:val="Normal"/>
    <w:semiHidden/>
    <w:rsid w:val="0012148B"/>
    <w:rPr>
      <w:sz w:val="20"/>
    </w:rPr>
  </w:style>
  <w:style w:type="paragraph" w:styleId="Objetducommentaire">
    <w:name w:val="annotation subject"/>
    <w:basedOn w:val="Commentaire"/>
    <w:next w:val="Commentaire"/>
    <w:semiHidden/>
    <w:rsid w:val="0012148B"/>
    <w:rPr>
      <w:b/>
      <w:bCs/>
    </w:rPr>
  </w:style>
  <w:style w:type="paragraph" w:styleId="Explorateurdedocuments">
    <w:name w:val="Document Map"/>
    <w:basedOn w:val="Normal"/>
    <w:semiHidden/>
    <w:rsid w:val="001E0578"/>
    <w:pPr>
      <w:shd w:val="clear" w:color="auto" w:fill="000080"/>
    </w:pPr>
    <w:rPr>
      <w:rFonts w:ascii="Tahoma" w:hAnsi="Tahoma" w:cs="Tahoma"/>
    </w:rPr>
  </w:style>
  <w:style w:type="paragraph" w:customStyle="1" w:styleId="Titre2">
    <w:name w:val="Titre2"/>
    <w:basedOn w:val="Normal"/>
    <w:rsid w:val="00E850AA"/>
    <w:pPr>
      <w:spacing w:after="160" w:line="240" w:lineRule="exact"/>
      <w:jc w:val="left"/>
    </w:pPr>
    <w:rPr>
      <w:rFonts w:ascii="Arial" w:hAnsi="Arial" w:cs="Verdana"/>
      <w:i/>
      <w:sz w:val="22"/>
      <w:szCs w:val="22"/>
      <w:lang w:val="en-US" w:eastAsia="en-US" w:bidi="km-KH"/>
    </w:rPr>
  </w:style>
  <w:style w:type="paragraph" w:styleId="NormalWeb">
    <w:name w:val="Normal (Web)"/>
    <w:basedOn w:val="Normal"/>
    <w:uiPriority w:val="99"/>
    <w:rsid w:val="00E850AA"/>
    <w:pPr>
      <w:spacing w:before="100" w:beforeAutospacing="1"/>
      <w:jc w:val="left"/>
    </w:pPr>
    <w:rPr>
      <w:color w:val="000000"/>
      <w:szCs w:val="24"/>
    </w:rPr>
  </w:style>
  <w:style w:type="paragraph" w:customStyle="1" w:styleId="1CarCarCar">
    <w:name w:val="1 Car Car Car"/>
    <w:basedOn w:val="Normal"/>
    <w:rsid w:val="00E850AA"/>
    <w:pPr>
      <w:widowControl w:val="0"/>
    </w:pPr>
    <w:rPr>
      <w:rFonts w:ascii="Tahoma" w:eastAsia="SimSun" w:hAnsi="Tahoma"/>
      <w:kern w:val="2"/>
      <w:lang w:val="en-US" w:eastAsia="zh-CN"/>
    </w:rPr>
  </w:style>
  <w:style w:type="paragraph" w:customStyle="1" w:styleId="western">
    <w:name w:val="western"/>
    <w:basedOn w:val="Normal"/>
    <w:rsid w:val="00E850AA"/>
    <w:pPr>
      <w:spacing w:before="100" w:beforeAutospacing="1"/>
      <w:jc w:val="left"/>
    </w:pPr>
    <w:rPr>
      <w:rFonts w:ascii="Arial Narrow" w:hAnsi="Arial Narrow"/>
      <w:color w:val="000000"/>
      <w:sz w:val="16"/>
      <w:szCs w:val="16"/>
    </w:rPr>
  </w:style>
  <w:style w:type="paragraph" w:customStyle="1" w:styleId="CarCar1CarCarCar">
    <w:name w:val="Car Car1 Car Car Car"/>
    <w:basedOn w:val="Normal"/>
    <w:rsid w:val="00C8543D"/>
    <w:pPr>
      <w:widowControl w:val="0"/>
    </w:pPr>
    <w:rPr>
      <w:rFonts w:ascii="Tahoma" w:eastAsia="SimSun" w:hAnsi="Tahoma"/>
      <w:kern w:val="2"/>
      <w:lang w:val="en-US" w:eastAsia="zh-CN"/>
    </w:rPr>
  </w:style>
  <w:style w:type="table" w:styleId="Grilledutableau">
    <w:name w:val="Table Grid"/>
    <w:basedOn w:val="TableauNormal"/>
    <w:rsid w:val="00C8543D"/>
    <w:pPr>
      <w:suppressAutoHyphens/>
      <w:spacing w:after="17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1">
    <w:name w:val="Car1"/>
    <w:semiHidden/>
    <w:rsid w:val="000E01DD"/>
    <w:rPr>
      <w:sz w:val="24"/>
      <w:lang w:val="fr-FR" w:eastAsia="fr-FR" w:bidi="ar-SA"/>
    </w:rPr>
  </w:style>
  <w:style w:type="character" w:styleId="lev">
    <w:name w:val="Strong"/>
    <w:qFormat/>
    <w:rsid w:val="009C3318"/>
    <w:rPr>
      <w:b/>
      <w:bCs/>
    </w:rPr>
  </w:style>
  <w:style w:type="paragraph" w:customStyle="1" w:styleId="CarCar">
    <w:name w:val="Car Car"/>
    <w:basedOn w:val="Normal"/>
    <w:rsid w:val="0060378E"/>
    <w:pPr>
      <w:spacing w:before="60" w:after="160" w:line="240" w:lineRule="exact"/>
    </w:pPr>
    <w:rPr>
      <w:rFonts w:ascii="Verdana" w:hAnsi="Verdana" w:cs="Tahoma"/>
      <w:sz w:val="22"/>
      <w:lang w:val="en-US" w:eastAsia="zh-CN"/>
    </w:rPr>
  </w:style>
  <w:style w:type="paragraph" w:customStyle="1" w:styleId="texteretrait">
    <w:name w:val="texte retrait"/>
    <w:basedOn w:val="Normal"/>
    <w:rsid w:val="00A17190"/>
    <w:pPr>
      <w:spacing w:before="240"/>
      <w:ind w:firstLine="709"/>
    </w:pPr>
    <w:rPr>
      <w:rFonts w:ascii="CG Times" w:hAnsi="CG Times"/>
      <w:sz w:val="22"/>
    </w:rPr>
  </w:style>
  <w:style w:type="character" w:customStyle="1" w:styleId="Marquedecommentaire1">
    <w:name w:val="Marque de commentaire1"/>
    <w:rsid w:val="003262D5"/>
    <w:rPr>
      <w:sz w:val="16"/>
      <w:szCs w:val="16"/>
    </w:rPr>
  </w:style>
  <w:style w:type="character" w:styleId="Accentuation">
    <w:name w:val="Emphasis"/>
    <w:qFormat/>
    <w:rsid w:val="00214CE4"/>
    <w:rPr>
      <w:i/>
      <w:iCs/>
    </w:rPr>
  </w:style>
  <w:style w:type="character" w:styleId="Lienhypertexte">
    <w:name w:val="Hyperlink"/>
    <w:rsid w:val="00553B8E"/>
    <w:rPr>
      <w:color w:val="0000FF"/>
      <w:u w:val="single"/>
    </w:rPr>
  </w:style>
  <w:style w:type="paragraph" w:styleId="Paragraphedeliste">
    <w:name w:val="List Paragraph"/>
    <w:basedOn w:val="Normal"/>
    <w:uiPriority w:val="34"/>
    <w:qFormat/>
    <w:rsid w:val="00842DD6"/>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8713523">
      <w:bodyDiv w:val="1"/>
      <w:marLeft w:val="0"/>
      <w:marRight w:val="0"/>
      <w:marTop w:val="0"/>
      <w:marBottom w:val="0"/>
      <w:divBdr>
        <w:top w:val="none" w:sz="0" w:space="0" w:color="auto"/>
        <w:left w:val="none" w:sz="0" w:space="0" w:color="auto"/>
        <w:bottom w:val="none" w:sz="0" w:space="0" w:color="auto"/>
        <w:right w:val="none" w:sz="0" w:space="0" w:color="auto"/>
      </w:divBdr>
    </w:div>
    <w:div w:id="218443315">
      <w:bodyDiv w:val="1"/>
      <w:marLeft w:val="0"/>
      <w:marRight w:val="0"/>
      <w:marTop w:val="0"/>
      <w:marBottom w:val="0"/>
      <w:divBdr>
        <w:top w:val="none" w:sz="0" w:space="0" w:color="auto"/>
        <w:left w:val="none" w:sz="0" w:space="0" w:color="auto"/>
        <w:bottom w:val="none" w:sz="0" w:space="0" w:color="auto"/>
        <w:right w:val="none" w:sz="0" w:space="0" w:color="auto"/>
      </w:divBdr>
      <w:divsChild>
        <w:div w:id="525558858">
          <w:marLeft w:val="0"/>
          <w:marRight w:val="0"/>
          <w:marTop w:val="0"/>
          <w:marBottom w:val="0"/>
          <w:divBdr>
            <w:top w:val="none" w:sz="0" w:space="0" w:color="auto"/>
            <w:left w:val="none" w:sz="0" w:space="0" w:color="auto"/>
            <w:bottom w:val="none" w:sz="0" w:space="0" w:color="auto"/>
            <w:right w:val="none" w:sz="0" w:space="0" w:color="auto"/>
          </w:divBdr>
          <w:divsChild>
            <w:div w:id="16328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0637">
      <w:bodyDiv w:val="1"/>
      <w:marLeft w:val="0"/>
      <w:marRight w:val="0"/>
      <w:marTop w:val="0"/>
      <w:marBottom w:val="0"/>
      <w:divBdr>
        <w:top w:val="none" w:sz="0" w:space="0" w:color="auto"/>
        <w:left w:val="none" w:sz="0" w:space="0" w:color="auto"/>
        <w:bottom w:val="none" w:sz="0" w:space="0" w:color="auto"/>
        <w:right w:val="none" w:sz="0" w:space="0" w:color="auto"/>
      </w:divBdr>
    </w:div>
    <w:div w:id="568879149">
      <w:bodyDiv w:val="1"/>
      <w:marLeft w:val="0"/>
      <w:marRight w:val="0"/>
      <w:marTop w:val="0"/>
      <w:marBottom w:val="0"/>
      <w:divBdr>
        <w:top w:val="none" w:sz="0" w:space="0" w:color="auto"/>
        <w:left w:val="none" w:sz="0" w:space="0" w:color="auto"/>
        <w:bottom w:val="none" w:sz="0" w:space="0" w:color="auto"/>
        <w:right w:val="none" w:sz="0" w:space="0" w:color="auto"/>
      </w:divBdr>
    </w:div>
    <w:div w:id="758526504">
      <w:bodyDiv w:val="1"/>
      <w:marLeft w:val="0"/>
      <w:marRight w:val="0"/>
      <w:marTop w:val="0"/>
      <w:marBottom w:val="0"/>
      <w:divBdr>
        <w:top w:val="none" w:sz="0" w:space="0" w:color="auto"/>
        <w:left w:val="none" w:sz="0" w:space="0" w:color="auto"/>
        <w:bottom w:val="none" w:sz="0" w:space="0" w:color="auto"/>
        <w:right w:val="none" w:sz="0" w:space="0" w:color="auto"/>
      </w:divBdr>
    </w:div>
    <w:div w:id="1420326940">
      <w:bodyDiv w:val="1"/>
      <w:marLeft w:val="0"/>
      <w:marRight w:val="0"/>
      <w:marTop w:val="0"/>
      <w:marBottom w:val="0"/>
      <w:divBdr>
        <w:top w:val="none" w:sz="0" w:space="0" w:color="auto"/>
        <w:left w:val="none" w:sz="0" w:space="0" w:color="auto"/>
        <w:bottom w:val="none" w:sz="0" w:space="0" w:color="auto"/>
        <w:right w:val="none" w:sz="0" w:space="0" w:color="auto"/>
      </w:divBdr>
    </w:div>
    <w:div w:id="1542087357">
      <w:bodyDiv w:val="1"/>
      <w:marLeft w:val="0"/>
      <w:marRight w:val="0"/>
      <w:marTop w:val="0"/>
      <w:marBottom w:val="0"/>
      <w:divBdr>
        <w:top w:val="none" w:sz="0" w:space="0" w:color="auto"/>
        <w:left w:val="none" w:sz="0" w:space="0" w:color="auto"/>
        <w:bottom w:val="none" w:sz="0" w:space="0" w:color="auto"/>
        <w:right w:val="none" w:sz="0" w:space="0" w:color="auto"/>
      </w:divBdr>
    </w:div>
    <w:div w:id="1568147537">
      <w:bodyDiv w:val="1"/>
      <w:marLeft w:val="0"/>
      <w:marRight w:val="0"/>
      <w:marTop w:val="0"/>
      <w:marBottom w:val="0"/>
      <w:divBdr>
        <w:top w:val="none" w:sz="0" w:space="0" w:color="auto"/>
        <w:left w:val="none" w:sz="0" w:space="0" w:color="auto"/>
        <w:bottom w:val="none" w:sz="0" w:space="0" w:color="auto"/>
        <w:right w:val="none" w:sz="0" w:space="0" w:color="auto"/>
      </w:divBdr>
    </w:div>
    <w:div w:id="17361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mbot-adc\Documents\Mod&#232;les\Fiche_5PS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603B-5061-4137-A08D-B4370D38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Fiche_5PSR.dot</Template>
  <TotalTime>2</TotalTime>
  <Pages>1</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Paris, le 11 décembre 2001</vt:lpstr>
    </vt:vector>
  </TitlesOfParts>
  <Company>SPM</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11 décembre 2001</dc:title>
  <dc:creator>Julien COMBOT</dc:creator>
  <cp:lastModifiedBy>BERNARD Christophe - FPT</cp:lastModifiedBy>
  <cp:revision>2</cp:revision>
  <cp:lastPrinted>2013-10-09T11:52:00Z</cp:lastPrinted>
  <dcterms:created xsi:type="dcterms:W3CDTF">2020-03-24T13:03:00Z</dcterms:created>
  <dcterms:modified xsi:type="dcterms:W3CDTF">2020-03-24T13:03:00Z</dcterms:modified>
</cp:coreProperties>
</file>