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390CE1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>
        <w:rPr>
          <w:rFonts w:ascii="Century Gothic" w:hAnsi="Century Gothic" w:cs="Arial"/>
          <w:b/>
          <w:bCs/>
          <w:sz w:val="28"/>
          <w:szCs w:val="22"/>
        </w:rPr>
        <w:t>D</w:t>
      </w:r>
      <w:r w:rsidR="00574D4E">
        <w:rPr>
          <w:rFonts w:ascii="Century Gothic" w:hAnsi="Century Gothic" w:cs="Arial"/>
          <w:b/>
          <w:bCs/>
          <w:sz w:val="28"/>
          <w:szCs w:val="22"/>
        </w:rPr>
        <w:t>ÉLIBÉRATION</w:t>
      </w:r>
    </w:p>
    <w:p w:rsidR="002C7932" w:rsidRDefault="001C4432" w:rsidP="00081E5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instituant </w:t>
      </w:r>
      <w:r w:rsidR="00081E5B">
        <w:rPr>
          <w:rFonts w:ascii="Century Gothic" w:hAnsi="Century Gothic" w:cs="Arial"/>
          <w:b/>
          <w:bCs/>
          <w:smallCaps/>
          <w:sz w:val="24"/>
          <w:szCs w:val="20"/>
        </w:rPr>
        <w:t>la prime de pouvoir d’achat exceptionnelle</w:t>
      </w:r>
    </w:p>
    <w:p w:rsidR="00081E5B" w:rsidRPr="002C7932" w:rsidRDefault="00081E5B" w:rsidP="00081E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 à [</w:t>
      </w:r>
      <w:r>
        <w:rPr>
          <w:rFonts w:cstheme="minorHAnsi"/>
          <w:b/>
          <w:sz w:val="20"/>
          <w:szCs w:val="20"/>
        </w:rPr>
        <w:t>heure</w:t>
      </w:r>
      <w:r>
        <w:rPr>
          <w:rFonts w:cstheme="minorHAnsi"/>
          <w:sz w:val="20"/>
          <w:szCs w:val="20"/>
        </w:rPr>
        <w:t>], à [</w:t>
      </w:r>
      <w:r>
        <w:rPr>
          <w:rFonts w:cstheme="minorHAnsi"/>
          <w:b/>
          <w:sz w:val="20"/>
          <w:szCs w:val="20"/>
        </w:rPr>
        <w:t>lieu</w:t>
      </w:r>
      <w:r>
        <w:rPr>
          <w:rFonts w:cstheme="minorHAnsi"/>
          <w:sz w:val="20"/>
          <w:szCs w:val="20"/>
        </w:rPr>
        <w:t>] se sont réunis les membres du [</w:t>
      </w:r>
      <w:r>
        <w:rPr>
          <w:rFonts w:cstheme="minorHAnsi"/>
          <w:b/>
          <w:sz w:val="20"/>
          <w:szCs w:val="20"/>
        </w:rPr>
        <w:t>assemblée délibérante</w:t>
      </w:r>
      <w:r>
        <w:rPr>
          <w:rFonts w:cstheme="minorHAnsi"/>
          <w:sz w:val="20"/>
          <w:szCs w:val="20"/>
        </w:rPr>
        <w:t>] sous la présidence de [</w:t>
      </w:r>
      <w:r>
        <w:rPr>
          <w:rFonts w:cstheme="minorHAnsi"/>
          <w:b/>
          <w:sz w:val="20"/>
          <w:szCs w:val="20"/>
        </w:rPr>
        <w:t>Nom, Prénom et qualité de l’autorité territoriale</w:t>
      </w:r>
      <w:r>
        <w:rPr>
          <w:rFonts w:cstheme="minorHAnsi"/>
          <w:sz w:val="20"/>
          <w:szCs w:val="20"/>
        </w:rPr>
        <w:t>], convoqués le [</w:t>
      </w:r>
      <w:r>
        <w:rPr>
          <w:rFonts w:cstheme="minorHAnsi"/>
          <w:b/>
          <w:sz w:val="20"/>
          <w:szCs w:val="20"/>
        </w:rPr>
        <w:t>date</w:t>
      </w:r>
      <w:r>
        <w:rPr>
          <w:rFonts w:cstheme="minorHAnsi"/>
          <w:sz w:val="20"/>
          <w:szCs w:val="20"/>
        </w:rPr>
        <w:t>].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présents : [</w:t>
      </w:r>
      <w:r>
        <w:rPr>
          <w:rFonts w:cstheme="minorHAnsi"/>
          <w:b/>
          <w:sz w:val="20"/>
          <w:szCs w:val="20"/>
        </w:rPr>
        <w:t>liste des présents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Étaient absent(s) excusé(s) : [</w:t>
      </w:r>
      <w:r>
        <w:rPr>
          <w:rFonts w:cstheme="minorHAnsi"/>
          <w:b/>
          <w:sz w:val="20"/>
          <w:szCs w:val="20"/>
        </w:rPr>
        <w:t>liste des absents</w:t>
      </w:r>
      <w:r>
        <w:rPr>
          <w:rFonts w:cstheme="minorHAnsi"/>
          <w:sz w:val="20"/>
          <w:szCs w:val="20"/>
        </w:rPr>
        <w:t>]</w:t>
      </w:r>
    </w:p>
    <w:p w:rsidR="00574D4E" w:rsidRP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secrétariat a été assuré par : [</w:t>
      </w:r>
      <w:r>
        <w:rPr>
          <w:rFonts w:cstheme="minorHAnsi"/>
          <w:b/>
          <w:sz w:val="20"/>
          <w:szCs w:val="20"/>
        </w:rPr>
        <w:t>Nom, Prénom et qualité du secrétaire de séance</w:t>
      </w:r>
      <w:r>
        <w:rPr>
          <w:rFonts w:cstheme="minorHAnsi"/>
          <w:sz w:val="20"/>
          <w:szCs w:val="20"/>
        </w:rPr>
        <w:t>]</w:t>
      </w:r>
    </w:p>
    <w:p w:rsidR="00574D4E" w:rsidRDefault="00574D4E" w:rsidP="00574D4E">
      <w:pPr>
        <w:autoSpaceDE w:val="0"/>
        <w:autoSpaceDN w:val="0"/>
        <w:adjustRightInd w:val="0"/>
        <w:spacing w:after="60" w:line="240" w:lineRule="auto"/>
        <w:rPr>
          <w:rFonts w:cstheme="minorHAnsi"/>
          <w:sz w:val="20"/>
          <w:szCs w:val="20"/>
        </w:rPr>
      </w:pPr>
    </w:p>
    <w:p w:rsidR="00216986" w:rsidRPr="00574D4E" w:rsidRDefault="00216986" w:rsidP="00574D4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20"/>
        </w:rPr>
      </w:pPr>
      <w:r w:rsidRPr="00574D4E">
        <w:rPr>
          <w:rFonts w:cstheme="minorHAnsi"/>
          <w:b/>
          <w:sz w:val="24"/>
          <w:szCs w:val="20"/>
        </w:rPr>
        <w:t xml:space="preserve">Le Maire </w:t>
      </w:r>
      <w:r w:rsidRPr="00574D4E">
        <w:rPr>
          <w:rFonts w:cstheme="minorHAnsi"/>
          <w:b/>
          <w:i/>
          <w:iCs/>
          <w:sz w:val="24"/>
          <w:szCs w:val="20"/>
        </w:rPr>
        <w:t xml:space="preserve">(ou le Président) </w:t>
      </w:r>
      <w:r w:rsidRPr="00574D4E">
        <w:rPr>
          <w:rFonts w:cstheme="minorHAnsi"/>
          <w:b/>
          <w:sz w:val="24"/>
          <w:szCs w:val="20"/>
        </w:rPr>
        <w:t>de [collectivité ou établissement public]</w:t>
      </w:r>
      <w:r w:rsidR="00574D4E" w:rsidRPr="00574D4E">
        <w:rPr>
          <w:rFonts w:cstheme="minorHAnsi"/>
          <w:b/>
          <w:sz w:val="24"/>
          <w:szCs w:val="20"/>
        </w:rPr>
        <w:t xml:space="preserve"> informe l’assemblée :</w:t>
      </w: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</w:p>
    <w:p w:rsidR="00397795" w:rsidRDefault="00AA30E7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Conformément au d</w:t>
      </w:r>
      <w:r w:rsidRPr="00081E5B">
        <w:rPr>
          <w:rFonts w:cstheme="minorHAnsi"/>
          <w:sz w:val="18"/>
          <w:szCs w:val="16"/>
        </w:rPr>
        <w:t>écret n° 2023-1006 du 31 octobre 2023</w:t>
      </w:r>
      <w:r>
        <w:rPr>
          <w:rFonts w:cstheme="minorHAnsi"/>
          <w:sz w:val="18"/>
          <w:szCs w:val="16"/>
        </w:rPr>
        <w:t>, une prime de pouvoir d’achat exceptionnelle</w:t>
      </w:r>
      <w:r w:rsidR="00E557CF">
        <w:rPr>
          <w:rFonts w:cstheme="minorHAnsi"/>
          <w:sz w:val="18"/>
          <w:szCs w:val="16"/>
        </w:rPr>
        <w:t xml:space="preserve"> forfaitaire</w:t>
      </w:r>
      <w:r>
        <w:rPr>
          <w:rFonts w:cstheme="minorHAnsi"/>
          <w:sz w:val="18"/>
          <w:szCs w:val="16"/>
        </w:rPr>
        <w:t xml:space="preserve"> est instituée en faveur des agents publics territoriaux. </w:t>
      </w:r>
      <w:r w:rsidR="00397795">
        <w:rPr>
          <w:rFonts w:cstheme="minorHAnsi"/>
          <w:sz w:val="18"/>
          <w:szCs w:val="16"/>
        </w:rPr>
        <w:t xml:space="preserve">Il appartient à l’organe délibérant de fixer, </w:t>
      </w:r>
      <w:r w:rsidR="00397795" w:rsidRPr="00397795">
        <w:rPr>
          <w:rFonts w:cstheme="minorHAnsi"/>
          <w:sz w:val="18"/>
          <w:szCs w:val="16"/>
        </w:rPr>
        <w:t>pour chaque niveau de rémunération prévu par le barème</w:t>
      </w:r>
      <w:r w:rsidR="00397795">
        <w:rPr>
          <w:rFonts w:cstheme="minorHAnsi"/>
          <w:sz w:val="18"/>
          <w:szCs w:val="16"/>
        </w:rPr>
        <w:t xml:space="preserve"> et dans la limite des plafonds décrétés</w:t>
      </w:r>
      <w:r w:rsidR="00397795" w:rsidRPr="00397795">
        <w:rPr>
          <w:rFonts w:cstheme="minorHAnsi"/>
          <w:sz w:val="18"/>
          <w:szCs w:val="16"/>
        </w:rPr>
        <w:t xml:space="preserve">, </w:t>
      </w:r>
      <w:r w:rsidR="00397795">
        <w:rPr>
          <w:rFonts w:cstheme="minorHAnsi"/>
          <w:sz w:val="18"/>
          <w:szCs w:val="16"/>
        </w:rPr>
        <w:t>un montant de prime et de définir les modalités de son versement.</w:t>
      </w:r>
    </w:p>
    <w:p w:rsidR="00397795" w:rsidRDefault="00397795" w:rsidP="0039779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Pourront prétendre à cette prime de pouvoir d’achat exceptionnelle les agents de droit public : </w:t>
      </w:r>
    </w:p>
    <w:p w:rsidR="00397795" w:rsidRDefault="00397795" w:rsidP="0039779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97795">
        <w:rPr>
          <w:rFonts w:cstheme="minorHAnsi"/>
          <w:sz w:val="18"/>
          <w:szCs w:val="16"/>
        </w:rPr>
        <w:t>Ayant été nommés ou recrutés par un employeur public à une date d'effet antérieure au 1</w:t>
      </w:r>
      <w:r w:rsidRPr="00397795">
        <w:rPr>
          <w:rFonts w:cstheme="minorHAnsi"/>
          <w:sz w:val="18"/>
          <w:szCs w:val="16"/>
          <w:vertAlign w:val="superscript"/>
        </w:rPr>
        <w:t>er</w:t>
      </w:r>
      <w:r w:rsidRPr="00397795">
        <w:rPr>
          <w:rFonts w:cstheme="minorHAnsi"/>
          <w:sz w:val="18"/>
          <w:szCs w:val="16"/>
        </w:rPr>
        <w:t xml:space="preserve"> janvier 2023 ;</w:t>
      </w:r>
    </w:p>
    <w:p w:rsidR="00397795" w:rsidRDefault="00397795" w:rsidP="0039779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E</w:t>
      </w:r>
      <w:r w:rsidRPr="00397795">
        <w:rPr>
          <w:rFonts w:cstheme="minorHAnsi"/>
          <w:sz w:val="18"/>
          <w:szCs w:val="16"/>
        </w:rPr>
        <w:t>mployés et rémunérés par un employeur public au 30 juin 2023 ;</w:t>
      </w:r>
    </w:p>
    <w:p w:rsidR="00397795" w:rsidRDefault="00397795" w:rsidP="00397795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Ayant</w:t>
      </w:r>
      <w:r w:rsidRPr="00397795">
        <w:rPr>
          <w:rFonts w:cstheme="minorHAnsi"/>
          <w:sz w:val="18"/>
          <w:szCs w:val="16"/>
        </w:rPr>
        <w:t xml:space="preserve"> perçu une rémunération brute inférieure ou égale à 39 000 euros au titre de la période courant du 1</w:t>
      </w:r>
      <w:r w:rsidRPr="00397795">
        <w:rPr>
          <w:rFonts w:cstheme="minorHAnsi"/>
          <w:sz w:val="18"/>
          <w:szCs w:val="16"/>
          <w:vertAlign w:val="superscript"/>
        </w:rPr>
        <w:t>er</w:t>
      </w:r>
      <w:r w:rsidRPr="00397795">
        <w:rPr>
          <w:rFonts w:cstheme="minorHAnsi"/>
          <w:sz w:val="18"/>
          <w:szCs w:val="16"/>
        </w:rPr>
        <w:t xml:space="preserve"> juillet 2022 au 30 juin 2023.</w:t>
      </w:r>
    </w:p>
    <w:p w:rsidR="00397795" w:rsidRPr="00397795" w:rsidRDefault="00397795" w:rsidP="0039779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Ces critères sont cumulatifs.</w:t>
      </w:r>
    </w:p>
    <w:p w:rsidR="00574D4E" w:rsidRDefault="00397795" w:rsidP="0039779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Sont exclus du bénéfice de cette prime : l</w:t>
      </w:r>
      <w:r w:rsidRPr="00397795">
        <w:rPr>
          <w:rFonts w:cstheme="minorHAnsi"/>
          <w:sz w:val="18"/>
          <w:szCs w:val="16"/>
        </w:rPr>
        <w:t xml:space="preserve">es agents publics éligibles à la prime de partage de </w:t>
      </w:r>
      <w:r>
        <w:rPr>
          <w:rFonts w:cstheme="minorHAnsi"/>
          <w:sz w:val="18"/>
          <w:szCs w:val="16"/>
        </w:rPr>
        <w:t>la valeur (dite prime Macron) ainsi que l</w:t>
      </w:r>
      <w:r w:rsidRPr="00397795">
        <w:rPr>
          <w:rFonts w:cstheme="minorHAnsi"/>
          <w:sz w:val="18"/>
          <w:szCs w:val="16"/>
        </w:rPr>
        <w:t>es élèves et étudiants en formation en milieu professionnel ou en stage avec lesquels les employeurs publics sont liés par une convention de stage.</w:t>
      </w:r>
    </w:p>
    <w:p w:rsidR="00E04A04" w:rsidRDefault="00397795" w:rsidP="00E04A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97795">
        <w:rPr>
          <w:rFonts w:cstheme="minorHAnsi"/>
          <w:sz w:val="18"/>
          <w:szCs w:val="16"/>
        </w:rPr>
        <w:t>Le montant de la prime est réduit à proportion de la quotité de travail et de la durée d'emploi sur la période courant du 1</w:t>
      </w:r>
      <w:r w:rsidRPr="00397795">
        <w:rPr>
          <w:rFonts w:cstheme="minorHAnsi"/>
          <w:sz w:val="18"/>
          <w:szCs w:val="16"/>
          <w:vertAlign w:val="superscript"/>
        </w:rPr>
        <w:t>er</w:t>
      </w:r>
      <w:r w:rsidRPr="00397795">
        <w:rPr>
          <w:rFonts w:cstheme="minorHAnsi"/>
          <w:sz w:val="18"/>
          <w:szCs w:val="16"/>
        </w:rPr>
        <w:t xml:space="preserve"> juillet 2022 au 30 juin 2023.</w:t>
      </w:r>
    </w:p>
    <w:p w:rsidR="00397795" w:rsidRPr="00E04A04" w:rsidRDefault="00E04A04" w:rsidP="00E04A0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Seule</w:t>
      </w:r>
      <w:r w:rsidRPr="00E04A04">
        <w:rPr>
          <w:rFonts w:ascii="Times New Roman" w:hAnsi="Times New Roman" w:cs="Times New Roman"/>
        </w:rPr>
        <w:t xml:space="preserve"> </w:t>
      </w:r>
      <w:r w:rsidRPr="00E04A04">
        <w:rPr>
          <w:rFonts w:cstheme="minorHAnsi"/>
          <w:sz w:val="18"/>
          <w:szCs w:val="16"/>
        </w:rPr>
        <w:t>la rémunération brute</w:t>
      </w:r>
      <w:r>
        <w:rPr>
          <w:rFonts w:cstheme="minorHAnsi"/>
          <w:sz w:val="18"/>
          <w:szCs w:val="16"/>
        </w:rPr>
        <w:t xml:space="preserve"> de l’agent est prise en compte</w:t>
      </w:r>
      <w:r w:rsidRPr="00E04A04">
        <w:rPr>
          <w:rFonts w:cstheme="minorHAnsi"/>
          <w:sz w:val="18"/>
          <w:szCs w:val="16"/>
        </w:rPr>
        <w:t xml:space="preserve"> pour déterminer le montant de cette prime.</w:t>
      </w:r>
    </w:p>
    <w:p w:rsidR="00397795" w:rsidRPr="00397795" w:rsidRDefault="00397795" w:rsidP="0039779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97795">
        <w:rPr>
          <w:rFonts w:cstheme="minorHAnsi"/>
          <w:sz w:val="18"/>
          <w:szCs w:val="16"/>
        </w:rPr>
        <w:t>Elle est cumulable avec toute autre prime et indemnité perçue par l'agent (à l'exception de la prime prévue par le </w:t>
      </w:r>
      <w:r>
        <w:rPr>
          <w:rFonts w:cstheme="minorHAnsi"/>
          <w:sz w:val="18"/>
          <w:szCs w:val="16"/>
        </w:rPr>
        <w:t>décret du 31 juillet 2023</w:t>
      </w:r>
      <w:r w:rsidRPr="00397795">
        <w:rPr>
          <w:rFonts w:cstheme="minorHAnsi"/>
          <w:sz w:val="18"/>
          <w:szCs w:val="16"/>
        </w:rPr>
        <w:t xml:space="preserve">). </w:t>
      </w:r>
    </w:p>
    <w:p w:rsidR="001C4432" w:rsidRDefault="001C4432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EC448E" w:rsidRPr="00EC448E" w:rsidRDefault="00EC448E" w:rsidP="00EC448E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24"/>
          <w:szCs w:val="16"/>
        </w:rPr>
      </w:pPr>
      <w:r>
        <w:rPr>
          <w:rFonts w:cstheme="minorHAnsi"/>
          <w:b/>
          <w:sz w:val="24"/>
          <w:szCs w:val="16"/>
        </w:rPr>
        <w:t>Le [assemblée délibérante], après en avoir délibéré :</w:t>
      </w:r>
    </w:p>
    <w:p w:rsidR="00EC448E" w:rsidRDefault="00EC448E" w:rsidP="00EC448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2C7932" w:rsidRPr="00702CDA" w:rsidRDefault="002C7932" w:rsidP="00574D4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081E5B" w:rsidRPr="00081E5B">
        <w:rPr>
          <w:rFonts w:cstheme="minorHAnsi"/>
          <w:sz w:val="18"/>
          <w:szCs w:val="16"/>
        </w:rPr>
        <w:t>notamment ses articles L. 4, L. 712-13 et L. 713-2</w:t>
      </w:r>
      <w:r w:rsidR="00415783">
        <w:rPr>
          <w:rFonts w:cstheme="minorHAnsi"/>
          <w:sz w:val="18"/>
          <w:szCs w:val="16"/>
        </w:rPr>
        <w:t xml:space="preserve">, </w:t>
      </w:r>
    </w:p>
    <w:p w:rsidR="00415783" w:rsidRPr="00415783" w:rsidRDefault="00415783" w:rsidP="0041578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415783">
        <w:rPr>
          <w:rFonts w:cstheme="minorHAnsi"/>
          <w:sz w:val="18"/>
          <w:szCs w:val="16"/>
        </w:rPr>
        <w:t>Décret n°91-875 du 6 septembre 1991 pris pour l'application du premier alinéa de l'article 88 de la loi du 26 janvier 1984 portant dispositions statutaires relatives à la fonction publique territoriale</w:t>
      </w:r>
      <w:r>
        <w:rPr>
          <w:rFonts w:cstheme="minorHAnsi"/>
          <w:sz w:val="18"/>
          <w:szCs w:val="16"/>
        </w:rPr>
        <w:t xml:space="preserve">, </w:t>
      </w:r>
    </w:p>
    <w:p w:rsidR="00081E5B" w:rsidRPr="00081E5B" w:rsidRDefault="00081E5B" w:rsidP="00081E5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081E5B">
        <w:rPr>
          <w:rFonts w:cstheme="minorHAnsi"/>
          <w:sz w:val="18"/>
          <w:szCs w:val="16"/>
        </w:rPr>
        <w:t>Décret n° 2023-1006 du 31 octobre 2023 portant création d'une prime de pouvoir d'achat exceptionnelle pour certains agents publics de la fonction publique territoriale</w:t>
      </w:r>
      <w:r>
        <w:rPr>
          <w:rFonts w:cstheme="minorHAnsi"/>
          <w:sz w:val="18"/>
          <w:szCs w:val="16"/>
        </w:rPr>
        <w:t>,</w:t>
      </w:r>
    </w:p>
    <w:p w:rsidR="00664362" w:rsidRDefault="00AE1755" w:rsidP="00081E5B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i/>
          <w:sz w:val="18"/>
        </w:rPr>
      </w:pPr>
      <w:r>
        <w:rPr>
          <w:rFonts w:cstheme="minorHAnsi"/>
          <w:sz w:val="18"/>
          <w:szCs w:val="16"/>
        </w:rPr>
        <w:t>Vu l</w:t>
      </w:r>
      <w:r w:rsidR="00617F5C">
        <w:rPr>
          <w:rFonts w:cstheme="minorHAnsi"/>
          <w:sz w:val="18"/>
          <w:szCs w:val="16"/>
        </w:rPr>
        <w:t xml:space="preserve">’avis du </w:t>
      </w:r>
      <w:r w:rsidR="002B0C21" w:rsidRPr="001C4432">
        <w:rPr>
          <w:rFonts w:cstheme="minorHAnsi"/>
          <w:sz w:val="18"/>
          <w:szCs w:val="16"/>
        </w:rPr>
        <w:t xml:space="preserve">comité </w:t>
      </w:r>
      <w:r w:rsidR="002B0C21">
        <w:rPr>
          <w:rFonts w:cstheme="minorHAnsi"/>
          <w:sz w:val="18"/>
          <w:szCs w:val="16"/>
        </w:rPr>
        <w:t>social territorial</w:t>
      </w:r>
      <w:r w:rsidR="002B0C21" w:rsidRPr="001C4432">
        <w:rPr>
          <w:rFonts w:cstheme="minorHAnsi"/>
          <w:sz w:val="18"/>
          <w:szCs w:val="16"/>
        </w:rPr>
        <w:t xml:space="preserve"> </w:t>
      </w:r>
      <w:r w:rsidR="00617F5C">
        <w:rPr>
          <w:rFonts w:cstheme="minorHAnsi"/>
          <w:sz w:val="18"/>
          <w:szCs w:val="16"/>
        </w:rPr>
        <w:t>réuni</w:t>
      </w:r>
      <w:r>
        <w:rPr>
          <w:rFonts w:cstheme="minorHAnsi"/>
          <w:sz w:val="18"/>
          <w:szCs w:val="16"/>
        </w:rPr>
        <w:t xml:space="preserve"> en date</w:t>
      </w:r>
      <w:r w:rsidR="00664362">
        <w:rPr>
          <w:rFonts w:ascii="Calibri" w:hAnsi="Calibri" w:cs="Calibri"/>
          <w:sz w:val="18"/>
        </w:rPr>
        <w:t xml:space="preserve"> du [</w:t>
      </w:r>
      <w:r w:rsidR="00664362">
        <w:rPr>
          <w:rFonts w:ascii="Calibri" w:hAnsi="Calibri" w:cs="Calibri"/>
          <w:b/>
          <w:sz w:val="18"/>
        </w:rPr>
        <w:t>date</w:t>
      </w:r>
      <w:r w:rsidR="00664362">
        <w:rPr>
          <w:rFonts w:ascii="Calibri" w:hAnsi="Calibri" w:cs="Calibri"/>
          <w:sz w:val="18"/>
        </w:rPr>
        <w:t xml:space="preserve">], </w:t>
      </w:r>
    </w:p>
    <w:p w:rsidR="00664362" w:rsidRPr="00702CDA" w:rsidRDefault="0066436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AE1755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DECIDE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557CF" w:rsidRPr="00E557CF" w:rsidRDefault="00572A22" w:rsidP="00E557CF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D</w:t>
            </w:r>
            <w:r w:rsidRPr="001C4432">
              <w:rPr>
                <w:rFonts w:cstheme="minorHAnsi"/>
                <w:sz w:val="18"/>
                <w:szCs w:val="16"/>
              </w:rPr>
              <w:t xml:space="preserve">’instituer </w:t>
            </w:r>
            <w:r w:rsidR="00E557CF" w:rsidRPr="00E557CF">
              <w:rPr>
                <w:rFonts w:cstheme="minorHAnsi"/>
                <w:bCs/>
                <w:sz w:val="18"/>
                <w:szCs w:val="16"/>
              </w:rPr>
              <w:t xml:space="preserve">la prime </w:t>
            </w:r>
            <w:r w:rsidR="00E557CF">
              <w:rPr>
                <w:rFonts w:cstheme="minorHAnsi"/>
                <w:bCs/>
                <w:sz w:val="18"/>
                <w:szCs w:val="16"/>
              </w:rPr>
              <w:t xml:space="preserve">de pouvoir d’achat exceptionnelle </w:t>
            </w:r>
            <w:r w:rsidR="00E557CF" w:rsidRPr="00E557CF">
              <w:rPr>
                <w:rFonts w:cstheme="minorHAnsi"/>
                <w:sz w:val="18"/>
                <w:szCs w:val="16"/>
              </w:rPr>
              <w:t>ainsi proposée.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557CF" w:rsidRPr="00E81381" w:rsidTr="00702CDA">
        <w:tc>
          <w:tcPr>
            <w:tcW w:w="1488" w:type="dxa"/>
          </w:tcPr>
          <w:p w:rsidR="00E557CF" w:rsidRPr="009F4153" w:rsidRDefault="00E557CF" w:rsidP="00C82C68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Article 2 :</w:t>
            </w:r>
          </w:p>
        </w:tc>
        <w:tc>
          <w:tcPr>
            <w:tcW w:w="7584" w:type="dxa"/>
          </w:tcPr>
          <w:p w:rsidR="00E04A04" w:rsidRPr="00725BBD" w:rsidRDefault="00E04A04" w:rsidP="00725BB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25BBD">
              <w:rPr>
                <w:rFonts w:cstheme="minorHAnsi"/>
                <w:sz w:val="18"/>
                <w:szCs w:val="18"/>
              </w:rPr>
              <w:t>Pour chaque niveau de rémunération prévu par le barème, le montant de la prime est fixé à 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7"/>
              <w:gridCol w:w="3717"/>
            </w:tblGrid>
            <w:tr w:rsidR="00E04A04" w:rsidRPr="00725BBD" w:rsidTr="00725BBD">
              <w:tc>
                <w:tcPr>
                  <w:tcW w:w="3717" w:type="dxa"/>
                </w:tcPr>
                <w:p w:rsidR="00E04A04" w:rsidRPr="00725BBD" w:rsidRDefault="00E04A04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Rémunération brute perçue au titre de la période courant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br/>
                    <w:t>du 1er juillet 2022 au 30 juin 2023</w:t>
                  </w:r>
                </w:p>
              </w:tc>
              <w:tc>
                <w:tcPr>
                  <w:tcW w:w="3717" w:type="dxa"/>
                </w:tcPr>
                <w:p w:rsidR="00E04A04" w:rsidRPr="00725BBD" w:rsidRDefault="00E04A04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Montant maximum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br/>
                    <w:t>de la prime de pouvoir d'achat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Inférieure ou égale à 23 700 €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800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23 700 € et inférieure ou égale à 27 300 €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7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00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27 300 € et inférieure ou égale à 29 160 €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6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00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29 160 € et inférieure ou égale à 30 840 €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5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00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30 840 € et inférieure ou égale à 32 280 €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4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00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32 280 € et inférieure ou égale à 33 600 €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350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  <w:tr w:rsidR="00725BBD" w:rsidRPr="00725BBD" w:rsidTr="00725BBD">
              <w:tc>
                <w:tcPr>
                  <w:tcW w:w="3717" w:type="dxa"/>
                  <w:vAlign w:val="center"/>
                </w:tcPr>
                <w:p w:rsidR="00725BBD" w:rsidRPr="00725BBD" w:rsidRDefault="00725BBD" w:rsidP="00725BBD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725BBD">
                    <w:rPr>
                      <w:rFonts w:cstheme="minorHAnsi"/>
                      <w:bCs/>
                      <w:sz w:val="18"/>
                      <w:szCs w:val="18"/>
                    </w:rPr>
                    <w:t>Supérieure à 33 600 € et inférieure ou égale à 39 000 €</w:t>
                  </w:r>
                </w:p>
              </w:tc>
              <w:tc>
                <w:tcPr>
                  <w:tcW w:w="3717" w:type="dxa"/>
                </w:tcPr>
                <w:p w:rsidR="00725BBD" w:rsidRPr="00725BBD" w:rsidRDefault="00725BBD" w:rsidP="00725BBD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</w:rPr>
                    <w:t>[</w:t>
                  </w:r>
                  <w:r>
                    <w:rPr>
                      <w:rFonts w:ascii="Calibri" w:hAnsi="Calibri" w:cs="Calibri"/>
                      <w:b/>
                      <w:sz w:val="18"/>
                    </w:rPr>
                    <w:t xml:space="preserve">le montant fixé ne peut excéder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300</w:t>
                  </w:r>
                  <w:r w:rsidRPr="00725BBD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725BBD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€</w:t>
                  </w:r>
                  <w:r>
                    <w:rPr>
                      <w:rFonts w:ascii="Calibri" w:hAnsi="Calibri" w:cs="Calibri"/>
                      <w:sz w:val="18"/>
                    </w:rPr>
                    <w:t>]</w:t>
                  </w:r>
                </w:p>
              </w:tc>
            </w:tr>
          </w:tbl>
          <w:p w:rsidR="00E04A04" w:rsidRPr="00725BBD" w:rsidRDefault="00E04A04" w:rsidP="00725BB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04A04" w:rsidRPr="00725BBD" w:rsidRDefault="00E04A04" w:rsidP="00725BB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E04A04" w:rsidRPr="00725BBD" w:rsidRDefault="00E04A04" w:rsidP="00725BB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AE1755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25BBD">
              <w:rPr>
                <w:rFonts w:ascii="Calibri" w:hAnsi="Calibri" w:cs="Calibri"/>
                <w:b/>
                <w:u w:val="single"/>
              </w:rPr>
              <w:t>3</w:t>
            </w:r>
            <w:r w:rsidR="00AE1755">
              <w:rPr>
                <w:rFonts w:ascii="Calibri" w:hAnsi="Calibri" w:cs="Calibri"/>
                <w:b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31D9E" w:rsidRDefault="00FC69A6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prime de pouvoir d’achat exceptionnelle, telle </w:t>
            </w:r>
            <w:r w:rsidR="00572A22" w:rsidRPr="00572A22">
              <w:rPr>
                <w:rFonts w:ascii="Calibri" w:hAnsi="Calibri" w:cs="Calibri"/>
                <w:sz w:val="18"/>
              </w:rPr>
              <w:t>que défini</w:t>
            </w:r>
            <w:r>
              <w:rPr>
                <w:rFonts w:ascii="Calibri" w:hAnsi="Calibri" w:cs="Calibri"/>
                <w:sz w:val="18"/>
              </w:rPr>
              <w:t>e</w:t>
            </w:r>
            <w:r w:rsidR="00572A22" w:rsidRPr="00572A22">
              <w:rPr>
                <w:rFonts w:ascii="Calibri" w:hAnsi="Calibri" w:cs="Calibri"/>
                <w:sz w:val="18"/>
              </w:rPr>
              <w:t xml:space="preserve"> ci-dessus, sera alloué</w:t>
            </w:r>
            <w:r>
              <w:rPr>
                <w:rFonts w:ascii="Calibri" w:hAnsi="Calibri" w:cs="Calibri"/>
                <w:sz w:val="18"/>
              </w:rPr>
              <w:t>e</w:t>
            </w:r>
            <w:r w:rsidR="00572A22" w:rsidRPr="00572A22">
              <w:rPr>
                <w:rFonts w:ascii="Calibri" w:hAnsi="Calibri" w:cs="Calibri"/>
                <w:sz w:val="18"/>
              </w:rPr>
              <w:t xml:space="preserve"> à compter du </w:t>
            </w:r>
            <w:r w:rsidR="00572A22">
              <w:rPr>
                <w:rFonts w:ascii="Calibri" w:hAnsi="Calibri" w:cs="Calibri"/>
                <w:sz w:val="18"/>
              </w:rPr>
              <w:t>[</w:t>
            </w:r>
            <w:r w:rsidR="00572A22">
              <w:rPr>
                <w:rFonts w:ascii="Calibri" w:hAnsi="Calibri" w:cs="Calibri"/>
                <w:b/>
                <w:sz w:val="18"/>
              </w:rPr>
              <w:t>date</w:t>
            </w:r>
            <w:r w:rsidR="00572A22">
              <w:rPr>
                <w:rFonts w:ascii="Calibri" w:hAnsi="Calibri" w:cs="Calibri"/>
                <w:sz w:val="18"/>
              </w:rPr>
              <w:t>]</w:t>
            </w:r>
            <w:r w:rsidR="00572A22" w:rsidRPr="00572A22">
              <w:rPr>
                <w:rFonts w:ascii="Calibri" w:hAnsi="Calibri" w:cs="Calibri"/>
                <w:sz w:val="18"/>
              </w:rPr>
              <w:t xml:space="preserve"> aux fonctionnaires titulaires, stagiaires et, le cas échéant, aux agen</w:t>
            </w:r>
            <w:r w:rsidR="00572A22">
              <w:rPr>
                <w:rFonts w:ascii="Calibri" w:hAnsi="Calibri" w:cs="Calibri"/>
                <w:sz w:val="18"/>
              </w:rPr>
              <w:t>ts contractuels de droit public.</w:t>
            </w:r>
          </w:p>
          <w:p w:rsidR="00FC69A6" w:rsidRDefault="00FC69A6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  <w:p w:rsidR="00FC69A6" w:rsidRDefault="00FC69A6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Elle fera l’objet de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chiffre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versement(s).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C23A3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725BBD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572A22">
              <w:rPr>
                <w:rFonts w:ascii="Calibri" w:hAnsi="Calibri" w:cs="Calibri"/>
                <w:sz w:val="18"/>
              </w:rPr>
              <w:t xml:space="preserve">Les dépenses correspondantes seront imputées sur le chapitre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de chapitre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article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numéro d’article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572A22">
              <w:rPr>
                <w:rFonts w:ascii="Calibri" w:hAnsi="Calibri" w:cs="Calibri"/>
                <w:sz w:val="18"/>
              </w:rPr>
              <w:t xml:space="preserve"> du budget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572A22" w:rsidRPr="007968B1" w:rsidRDefault="00572A22" w:rsidP="00572A22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968B1" w:rsidRPr="00E81381" w:rsidTr="00702CDA">
        <w:tc>
          <w:tcPr>
            <w:tcW w:w="1488" w:type="dxa"/>
          </w:tcPr>
          <w:p w:rsidR="007968B1" w:rsidRPr="009F4153" w:rsidRDefault="007968B1" w:rsidP="00725BB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25BBD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968B1">
              <w:rPr>
                <w:rFonts w:ascii="Calibri" w:hAnsi="Calibri" w:cs="Calibri"/>
                <w:sz w:val="18"/>
              </w:rPr>
              <w:t xml:space="preserve">Que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Qualité de l’autorité territoriale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7968B1">
              <w:rPr>
                <w:rFonts w:ascii="Calibri" w:hAnsi="Calibri" w:cs="Calibri"/>
                <w:sz w:val="18"/>
              </w:rPr>
              <w:t>est chargé(e) de prendre toutes les mesures nécessaires à l’exécution de la présente délibération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7968B1" w:rsidRDefault="007968B1" w:rsidP="007968B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702CDA" w:rsidRDefault="007968B1" w:rsidP="007968B1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ADOPTÉ</w:t>
      </w:r>
    </w:p>
    <w:p w:rsidR="007968B1" w:rsidRDefault="007968B1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7968B1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l’unanimité des membres présents</w:t>
      </w:r>
    </w:p>
    <w:p w:rsidR="00131D9E" w:rsidRDefault="00131D9E" w:rsidP="007968B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pour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de voix contre</w:t>
      </w:r>
    </w:p>
    <w:p w:rsidR="00131D9E" w:rsidRPr="00131D9E" w:rsidRDefault="00131D9E" w:rsidP="00131D9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A [</w:t>
      </w:r>
      <w:r>
        <w:rPr>
          <w:rFonts w:cstheme="minorHAnsi"/>
          <w:b/>
          <w:sz w:val="18"/>
          <w:szCs w:val="16"/>
        </w:rPr>
        <w:t>nombre</w:t>
      </w:r>
      <w:r>
        <w:rPr>
          <w:rFonts w:cstheme="minorHAnsi"/>
          <w:sz w:val="18"/>
          <w:szCs w:val="16"/>
        </w:rPr>
        <w:t>] abstention(s)</w:t>
      </w:r>
    </w:p>
    <w:p w:rsidR="007968B1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968B1" w:rsidRPr="005400FF" w:rsidRDefault="007968B1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Pr="00131D9E" w:rsidRDefault="00131D9E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Nom, prénom et qualité du signataire</w:t>
      </w:r>
      <w:r>
        <w:rPr>
          <w:rFonts w:cstheme="minorHAnsi"/>
          <w:sz w:val="18"/>
          <w:szCs w:val="18"/>
        </w:rPr>
        <w:t>]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4C47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655247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Transmis au représentant de l’État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  <w:r>
        <w:rPr>
          <w:rFonts w:cstheme="minorHAnsi"/>
          <w:b/>
          <w:sz w:val="15"/>
          <w:szCs w:val="15"/>
        </w:rPr>
        <w:t>Publié le [date]</w:t>
      </w:r>
    </w:p>
    <w:p w:rsid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131D9E" w:rsidRPr="00702CDA" w:rsidRDefault="00131D9E" w:rsidP="00131D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faire l’objet d’un recours pour excès de pouvoir devant le Tribunal Administratif dans un délai de deux mois à compter de </w:t>
      </w:r>
      <w:r>
        <w:rPr>
          <w:rFonts w:cstheme="minorHAnsi"/>
          <w:sz w:val="15"/>
          <w:szCs w:val="15"/>
        </w:rPr>
        <w:t>la date de publication</w:t>
      </w:r>
      <w:r w:rsidRPr="00702CDA">
        <w:rPr>
          <w:rFonts w:cstheme="minorHAnsi"/>
          <w:sz w:val="15"/>
          <w:szCs w:val="15"/>
        </w:rPr>
        <w:t>.</w:t>
      </w:r>
    </w:p>
    <w:p w:rsidR="00131D9E" w:rsidRPr="00702CDA" w:rsidRDefault="00131D9E" w:rsidP="00131D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131D9E" w:rsidRPr="00131D9E" w:rsidRDefault="00131D9E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5"/>
          <w:szCs w:val="15"/>
        </w:rPr>
      </w:pPr>
    </w:p>
    <w:sectPr w:rsidR="00131D9E" w:rsidRPr="00131D9E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B8" w:rsidRDefault="004502B8" w:rsidP="00992F41">
      <w:pPr>
        <w:spacing w:after="0" w:line="240" w:lineRule="auto"/>
      </w:pPr>
      <w:r>
        <w:separator/>
      </w:r>
    </w:p>
  </w:endnote>
  <w:endnote w:type="continuationSeparator" w:id="0">
    <w:p w:rsidR="004502B8" w:rsidRDefault="004502B8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B8" w:rsidRDefault="004502B8" w:rsidP="00992F41">
      <w:pPr>
        <w:spacing w:after="0" w:line="240" w:lineRule="auto"/>
      </w:pPr>
      <w:r>
        <w:separator/>
      </w:r>
    </w:p>
  </w:footnote>
  <w:footnote w:type="continuationSeparator" w:id="0">
    <w:p w:rsidR="004502B8" w:rsidRDefault="004502B8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67008"/>
    <w:multiLevelType w:val="hybridMultilevel"/>
    <w:tmpl w:val="410CB818"/>
    <w:lvl w:ilvl="0" w:tplc="F8A6AB34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395C"/>
    <w:multiLevelType w:val="hybridMultilevel"/>
    <w:tmpl w:val="B8B21FF6"/>
    <w:lvl w:ilvl="0" w:tplc="891A1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81E5B"/>
    <w:rsid w:val="000E1A9E"/>
    <w:rsid w:val="001036A3"/>
    <w:rsid w:val="00104666"/>
    <w:rsid w:val="00130674"/>
    <w:rsid w:val="00131D9E"/>
    <w:rsid w:val="001C4432"/>
    <w:rsid w:val="001C6AF1"/>
    <w:rsid w:val="001E309B"/>
    <w:rsid w:val="00216986"/>
    <w:rsid w:val="00232F1A"/>
    <w:rsid w:val="00264A27"/>
    <w:rsid w:val="0028085B"/>
    <w:rsid w:val="002B0C21"/>
    <w:rsid w:val="002C7932"/>
    <w:rsid w:val="002E47E1"/>
    <w:rsid w:val="003520C3"/>
    <w:rsid w:val="00390CE1"/>
    <w:rsid w:val="00397795"/>
    <w:rsid w:val="00405B76"/>
    <w:rsid w:val="00415783"/>
    <w:rsid w:val="00441437"/>
    <w:rsid w:val="004502B8"/>
    <w:rsid w:val="004C47E8"/>
    <w:rsid w:val="0052435D"/>
    <w:rsid w:val="005271CF"/>
    <w:rsid w:val="005400FF"/>
    <w:rsid w:val="00572A22"/>
    <w:rsid w:val="00574D4E"/>
    <w:rsid w:val="0058103C"/>
    <w:rsid w:val="005D50E7"/>
    <w:rsid w:val="005F195B"/>
    <w:rsid w:val="00617F5C"/>
    <w:rsid w:val="00655247"/>
    <w:rsid w:val="00664362"/>
    <w:rsid w:val="00677F9E"/>
    <w:rsid w:val="00684571"/>
    <w:rsid w:val="00690F87"/>
    <w:rsid w:val="00702CDA"/>
    <w:rsid w:val="00720471"/>
    <w:rsid w:val="00725BBD"/>
    <w:rsid w:val="00791668"/>
    <w:rsid w:val="007968B1"/>
    <w:rsid w:val="008C0284"/>
    <w:rsid w:val="00992F41"/>
    <w:rsid w:val="00A14948"/>
    <w:rsid w:val="00A17B90"/>
    <w:rsid w:val="00A421B8"/>
    <w:rsid w:val="00A75050"/>
    <w:rsid w:val="00A91285"/>
    <w:rsid w:val="00AA30E7"/>
    <w:rsid w:val="00AD2325"/>
    <w:rsid w:val="00AE1755"/>
    <w:rsid w:val="00BD62B5"/>
    <w:rsid w:val="00C10417"/>
    <w:rsid w:val="00C23A3B"/>
    <w:rsid w:val="00C85819"/>
    <w:rsid w:val="00C93136"/>
    <w:rsid w:val="00CB4623"/>
    <w:rsid w:val="00D50C32"/>
    <w:rsid w:val="00D74D03"/>
    <w:rsid w:val="00D940DC"/>
    <w:rsid w:val="00DA2461"/>
    <w:rsid w:val="00DE72F7"/>
    <w:rsid w:val="00E04A04"/>
    <w:rsid w:val="00E557CF"/>
    <w:rsid w:val="00EC448E"/>
    <w:rsid w:val="00EC4DAC"/>
    <w:rsid w:val="00EE274E"/>
    <w:rsid w:val="00F34C8E"/>
    <w:rsid w:val="00F57FEF"/>
    <w:rsid w:val="00FC69A6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8EF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E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customStyle="1" w:styleId="VuConsidrant">
    <w:name w:val="Vu.Considérant"/>
    <w:basedOn w:val="Normal"/>
    <w:rsid w:val="00AE1755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E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2A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2A2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97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4F52-20B8-4828-9EE2-6C9F9D31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Soukaïna Benjaafar</cp:lastModifiedBy>
  <cp:revision>3</cp:revision>
  <cp:lastPrinted>2022-05-20T09:55:00Z</cp:lastPrinted>
  <dcterms:created xsi:type="dcterms:W3CDTF">2023-11-02T13:08:00Z</dcterms:created>
  <dcterms:modified xsi:type="dcterms:W3CDTF">2023-11-02T13:10:00Z</dcterms:modified>
</cp:coreProperties>
</file>